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C012" w14:textId="3E21A701" w:rsidR="00856E8E" w:rsidRPr="00A24728" w:rsidRDefault="00BC4ECD" w:rsidP="00856E8E">
      <w:pPr>
        <w:pStyle w:val="AODocTxt"/>
        <w:spacing w:before="100" w:beforeAutospacing="1" w:line="240" w:lineRule="auto"/>
        <w:rPr>
          <w:b/>
        </w:rPr>
      </w:pPr>
      <w:r w:rsidRPr="00A24728">
        <w:rPr>
          <w:b/>
        </w:rPr>
        <w:t>N</w:t>
      </w:r>
      <w:r w:rsidR="00856E8E" w:rsidRPr="00A24728">
        <w:rPr>
          <w:b/>
        </w:rPr>
        <w:t>OT FOR RELEASE, PUBLICATION OR DISTRIBUTION, IN WHOLE OR IN PART, DIRECTLY OR INDIRECTLY, IN, INTO OR FROM ANY JURISDICTION WHERE TO DO SO WOULD CONSTITUTE A VIOLATION OF THE RELEVANT LAWS OR REGULATIONS OF THAT JURISDICTION</w:t>
      </w:r>
    </w:p>
    <w:p w14:paraId="034134FE" w14:textId="41BDAA93" w:rsidR="00856E8E" w:rsidRPr="00A24728" w:rsidRDefault="00856E8E" w:rsidP="00856E8E">
      <w:pPr>
        <w:pStyle w:val="AODocTxt"/>
        <w:spacing w:line="240" w:lineRule="auto"/>
      </w:pPr>
      <w:r w:rsidRPr="00A24728">
        <w:rPr>
          <w:b/>
        </w:rPr>
        <w:t>FOR IMMEDIATE RELEASE</w:t>
      </w:r>
    </w:p>
    <w:p w14:paraId="266E61CB" w14:textId="0AF5BECA" w:rsidR="00BC4ECD" w:rsidRPr="00A24728" w:rsidRDefault="00856E8E" w:rsidP="008772DC">
      <w:pPr>
        <w:pStyle w:val="BodyText1"/>
        <w:jc w:val="right"/>
        <w:rPr>
          <w:rFonts w:cs="Times New Roman"/>
          <w:b/>
        </w:rPr>
      </w:pPr>
      <w:r w:rsidRPr="00A24728">
        <w:rPr>
          <w:rFonts w:cs="Times New Roman"/>
          <w:b/>
        </w:rPr>
        <w:t xml:space="preserve">   </w:t>
      </w:r>
      <w:r w:rsidRPr="00A24728">
        <w:rPr>
          <w:rFonts w:cs="Times New Roman"/>
          <w:b/>
        </w:rPr>
        <w:tab/>
      </w:r>
      <w:r w:rsidRPr="00A24728">
        <w:rPr>
          <w:rFonts w:cs="Times New Roman"/>
          <w:b/>
        </w:rPr>
        <w:tab/>
      </w:r>
      <w:r w:rsidRPr="00A24728">
        <w:rPr>
          <w:rFonts w:cs="Times New Roman"/>
          <w:b/>
        </w:rPr>
        <w:tab/>
      </w:r>
      <w:r w:rsidRPr="00A24728">
        <w:rPr>
          <w:rFonts w:cs="Times New Roman"/>
          <w:b/>
        </w:rPr>
        <w:tab/>
      </w:r>
      <w:r w:rsidRPr="00A24728">
        <w:rPr>
          <w:rFonts w:cs="Times New Roman"/>
          <w:b/>
        </w:rPr>
        <w:tab/>
      </w:r>
      <w:r w:rsidRPr="00A24728">
        <w:rPr>
          <w:rFonts w:cs="Times New Roman"/>
          <w:b/>
        </w:rPr>
        <w:tab/>
      </w:r>
      <w:r w:rsidR="00097144" w:rsidRPr="00A24728">
        <w:rPr>
          <w:rFonts w:cs="Times New Roman"/>
          <w:b/>
        </w:rPr>
        <w:t xml:space="preserve">                 </w:t>
      </w:r>
      <w:r w:rsidR="006651FC">
        <w:rPr>
          <w:rFonts w:cs="Times New Roman"/>
          <w:b/>
        </w:rPr>
        <w:t xml:space="preserve">24 October </w:t>
      </w:r>
      <w:r w:rsidRPr="00A24728">
        <w:rPr>
          <w:rFonts w:cs="Times New Roman"/>
          <w:b/>
        </w:rPr>
        <w:t>2025</w:t>
      </w:r>
    </w:p>
    <w:p w14:paraId="50603773" w14:textId="475411E9" w:rsidR="00ED0277" w:rsidRPr="00A24728" w:rsidRDefault="00BC45A5" w:rsidP="00BC4ECD">
      <w:pPr>
        <w:pStyle w:val="AODocTxt"/>
        <w:spacing w:before="120" w:line="240" w:lineRule="auto"/>
        <w:jc w:val="center"/>
        <w:rPr>
          <w:b/>
        </w:rPr>
      </w:pPr>
      <w:r>
        <w:rPr>
          <w:b/>
        </w:rPr>
        <w:t>SATISFACTION OF</w:t>
      </w:r>
      <w:r w:rsidR="00E25512" w:rsidRPr="00A24728">
        <w:rPr>
          <w:b/>
        </w:rPr>
        <w:t xml:space="preserve"> REGULATORY</w:t>
      </w:r>
      <w:r w:rsidR="00060A1B">
        <w:rPr>
          <w:b/>
        </w:rPr>
        <w:t xml:space="preserve"> CLEARANCE</w:t>
      </w:r>
      <w:r w:rsidR="00E25512" w:rsidRPr="00A24728">
        <w:rPr>
          <w:b/>
        </w:rPr>
        <w:t xml:space="preserve"> CONDITIONS</w:t>
      </w:r>
      <w:r>
        <w:rPr>
          <w:b/>
        </w:rPr>
        <w:t xml:space="preserve"> AND TIMETABLE UPDATE</w:t>
      </w:r>
    </w:p>
    <w:p w14:paraId="166ADCBB" w14:textId="77777777" w:rsidR="00BC4ECD" w:rsidRPr="00A24728" w:rsidRDefault="00BC4ECD" w:rsidP="00BC4ECD">
      <w:pPr>
        <w:pStyle w:val="AODocTxt"/>
        <w:spacing w:before="120" w:line="240" w:lineRule="auto"/>
        <w:jc w:val="center"/>
        <w:rPr>
          <w:b/>
          <w:sz w:val="24"/>
          <w:szCs w:val="24"/>
        </w:rPr>
      </w:pPr>
    </w:p>
    <w:p w14:paraId="4117F6D9" w14:textId="76A927A0" w:rsidR="00856E8E" w:rsidRPr="00A24728" w:rsidRDefault="00856E8E" w:rsidP="00856E8E">
      <w:pPr>
        <w:pStyle w:val="AODocTxt"/>
        <w:spacing w:before="120" w:line="240" w:lineRule="auto"/>
        <w:jc w:val="center"/>
        <w:rPr>
          <w:b/>
          <w:highlight w:val="yellow"/>
        </w:rPr>
      </w:pPr>
      <w:r w:rsidRPr="00A24728">
        <w:rPr>
          <w:b/>
        </w:rPr>
        <w:t>RECOMMENDED CASH ACQUISITION</w:t>
      </w:r>
    </w:p>
    <w:p w14:paraId="4F65CBE2" w14:textId="77777777" w:rsidR="00856E8E" w:rsidRPr="00A24728" w:rsidRDefault="00856E8E" w:rsidP="00856E8E">
      <w:pPr>
        <w:pStyle w:val="AODocTxt"/>
        <w:spacing w:before="120" w:line="240" w:lineRule="auto"/>
        <w:jc w:val="center"/>
        <w:rPr>
          <w:b/>
        </w:rPr>
      </w:pPr>
      <w:r w:rsidRPr="00A24728">
        <w:rPr>
          <w:b/>
        </w:rPr>
        <w:t>of</w:t>
      </w:r>
    </w:p>
    <w:p w14:paraId="0F4B755F" w14:textId="77777777" w:rsidR="00856E8E" w:rsidRPr="00A24728" w:rsidRDefault="00856E8E" w:rsidP="00856E8E">
      <w:pPr>
        <w:pStyle w:val="AODocTxt"/>
        <w:spacing w:before="120" w:line="240" w:lineRule="auto"/>
        <w:jc w:val="center"/>
        <w:rPr>
          <w:b/>
        </w:rPr>
      </w:pPr>
      <w:r w:rsidRPr="00A24728">
        <w:rPr>
          <w:b/>
        </w:rPr>
        <w:t>DOWNING RENEWABLES &amp; INFRASTRUCTURE TRUST PLC</w:t>
      </w:r>
    </w:p>
    <w:p w14:paraId="5CE26FF0" w14:textId="77777777" w:rsidR="00856E8E" w:rsidRPr="00A24728" w:rsidRDefault="00856E8E" w:rsidP="00856E8E">
      <w:pPr>
        <w:pStyle w:val="AODocTxt"/>
        <w:spacing w:before="120" w:line="240" w:lineRule="auto"/>
        <w:jc w:val="center"/>
        <w:rPr>
          <w:b/>
        </w:rPr>
      </w:pPr>
      <w:r w:rsidRPr="00A24728">
        <w:rPr>
          <w:b/>
        </w:rPr>
        <w:t>by</w:t>
      </w:r>
    </w:p>
    <w:p w14:paraId="75ED2D64" w14:textId="77777777" w:rsidR="00856E8E" w:rsidRPr="00A24728" w:rsidRDefault="00856E8E" w:rsidP="00856E8E">
      <w:pPr>
        <w:pStyle w:val="AODocTxt"/>
        <w:spacing w:before="120" w:line="240" w:lineRule="auto"/>
        <w:jc w:val="center"/>
        <w:rPr>
          <w:b/>
        </w:rPr>
      </w:pPr>
      <w:r w:rsidRPr="00A24728">
        <w:rPr>
          <w:b/>
        </w:rPr>
        <w:t xml:space="preserve">POLAR NIMROD TOPCO LIMITED </w:t>
      </w:r>
    </w:p>
    <w:p w14:paraId="26F3420D" w14:textId="05357749" w:rsidR="00856E8E" w:rsidRPr="00A24728" w:rsidRDefault="00856E8E" w:rsidP="00856E8E">
      <w:pPr>
        <w:pStyle w:val="AODocTxt"/>
        <w:spacing w:before="120" w:line="240" w:lineRule="auto"/>
        <w:jc w:val="center"/>
        <w:rPr>
          <w:b/>
        </w:rPr>
      </w:pPr>
      <w:r w:rsidRPr="00A24728">
        <w:rPr>
          <w:b/>
        </w:rPr>
        <w:t>(a newly formed vehicle, wholly-owned by Bagnall Energy Limited)</w:t>
      </w:r>
    </w:p>
    <w:p w14:paraId="5D39B5C7" w14:textId="49BEC9AF" w:rsidR="00856E8E" w:rsidRPr="00A24728" w:rsidRDefault="00856E8E" w:rsidP="00856E8E">
      <w:pPr>
        <w:pStyle w:val="AODocTxt"/>
        <w:spacing w:before="120" w:line="240" w:lineRule="auto"/>
        <w:jc w:val="center"/>
        <w:rPr>
          <w:b/>
        </w:rPr>
      </w:pPr>
      <w:r w:rsidRPr="00A24728">
        <w:rPr>
          <w:b/>
        </w:rPr>
        <w:t>to be implemented by means of a Court-sanctioned scheme of arrangement under Part 26 of the Companies Act</w:t>
      </w:r>
      <w:r w:rsidR="00150B9A">
        <w:rPr>
          <w:b/>
        </w:rPr>
        <w:t xml:space="preserve"> 2006</w:t>
      </w:r>
    </w:p>
    <w:p w14:paraId="598D6014" w14:textId="77777777" w:rsidR="00856E8E" w:rsidRPr="00A24728" w:rsidRDefault="00856E8E" w:rsidP="00C4573F">
      <w:pPr>
        <w:jc w:val="center"/>
        <w:rPr>
          <w:rFonts w:ascii="Times New Roman" w:hAnsi="Times New Roman" w:cs="Times New Roman"/>
          <w:b/>
          <w:bCs/>
          <w:lang w:val="en-GB"/>
        </w:rPr>
      </w:pPr>
    </w:p>
    <w:p w14:paraId="2E8E91FF" w14:textId="555E850B" w:rsidR="00582ED3" w:rsidRPr="00A24728" w:rsidRDefault="00ED0277" w:rsidP="00A24728">
      <w:pPr>
        <w:jc w:val="both"/>
        <w:rPr>
          <w:rFonts w:ascii="Times New Roman" w:hAnsi="Times New Roman" w:cs="Times New Roman"/>
        </w:rPr>
      </w:pPr>
      <w:r w:rsidRPr="00A24728">
        <w:rPr>
          <w:rFonts w:ascii="Times New Roman" w:hAnsi="Times New Roman" w:cs="Times New Roman"/>
        </w:rPr>
        <w:t>On 20 June 2025, the boards of directors of Downing Renewables &amp; Infrastructure Trust</w:t>
      </w:r>
      <w:r w:rsidR="00D76BB4" w:rsidRPr="00A24728">
        <w:rPr>
          <w:rFonts w:ascii="Times New Roman" w:hAnsi="Times New Roman" w:cs="Times New Roman"/>
        </w:rPr>
        <w:t xml:space="preserve"> plc</w:t>
      </w:r>
      <w:r w:rsidRPr="00A24728">
        <w:rPr>
          <w:rFonts w:ascii="Times New Roman" w:hAnsi="Times New Roman" w:cs="Times New Roman"/>
        </w:rPr>
        <w:t xml:space="preserve"> (</w:t>
      </w:r>
      <w:r w:rsidR="00150B9A">
        <w:rPr>
          <w:rFonts w:ascii="Times New Roman" w:hAnsi="Times New Roman" w:cs="Times New Roman"/>
        </w:rPr>
        <w:t>"</w:t>
      </w:r>
      <w:r w:rsidRPr="00A24728">
        <w:rPr>
          <w:rFonts w:ascii="Times New Roman" w:hAnsi="Times New Roman" w:cs="Times New Roman"/>
          <w:b/>
          <w:bCs/>
        </w:rPr>
        <w:t>DORE</w:t>
      </w:r>
      <w:r w:rsidR="00150B9A">
        <w:rPr>
          <w:rFonts w:ascii="Times New Roman" w:hAnsi="Times New Roman" w:cs="Times New Roman"/>
        </w:rPr>
        <w:t>"</w:t>
      </w:r>
      <w:r w:rsidRPr="00A24728">
        <w:rPr>
          <w:rFonts w:ascii="Times New Roman" w:hAnsi="Times New Roman" w:cs="Times New Roman"/>
        </w:rPr>
        <w:t>) and Bagnall Energy Limited (</w:t>
      </w:r>
      <w:r w:rsidR="00150B9A">
        <w:rPr>
          <w:rFonts w:ascii="Times New Roman" w:hAnsi="Times New Roman" w:cs="Times New Roman"/>
        </w:rPr>
        <w:t>"</w:t>
      </w:r>
      <w:r w:rsidRPr="00A24728">
        <w:rPr>
          <w:rFonts w:ascii="Times New Roman" w:hAnsi="Times New Roman" w:cs="Times New Roman"/>
          <w:b/>
          <w:bCs/>
        </w:rPr>
        <w:t>Bagnall</w:t>
      </w:r>
      <w:r w:rsidR="00150B9A">
        <w:rPr>
          <w:rFonts w:ascii="Times New Roman" w:hAnsi="Times New Roman" w:cs="Times New Roman"/>
        </w:rPr>
        <w:t>"</w:t>
      </w:r>
      <w:r w:rsidRPr="00A24728">
        <w:rPr>
          <w:rFonts w:ascii="Times New Roman" w:hAnsi="Times New Roman" w:cs="Times New Roman"/>
        </w:rPr>
        <w:t xml:space="preserve">) announced that they had reached agreement on the terms of a recommended </w:t>
      </w:r>
      <w:r w:rsidR="00CC7C07" w:rsidRPr="00A24728">
        <w:rPr>
          <w:rFonts w:ascii="Times New Roman" w:hAnsi="Times New Roman" w:cs="Times New Roman"/>
        </w:rPr>
        <w:t xml:space="preserve">cash </w:t>
      </w:r>
      <w:r w:rsidRPr="00A24728">
        <w:rPr>
          <w:rFonts w:ascii="Times New Roman" w:hAnsi="Times New Roman" w:cs="Times New Roman"/>
        </w:rPr>
        <w:t>acquisition pursuant to</w:t>
      </w:r>
      <w:r w:rsidR="00CC7C07" w:rsidRPr="00A24728">
        <w:rPr>
          <w:rFonts w:ascii="Times New Roman" w:hAnsi="Times New Roman" w:cs="Times New Roman"/>
        </w:rPr>
        <w:t xml:space="preserve"> which</w:t>
      </w:r>
      <w:r w:rsidRPr="00A24728">
        <w:rPr>
          <w:rFonts w:ascii="Times New Roman" w:hAnsi="Times New Roman" w:cs="Times New Roman"/>
        </w:rPr>
        <w:t xml:space="preserve"> Polar Nimrod Topco Limited (</w:t>
      </w:r>
      <w:r w:rsidR="00150B9A">
        <w:rPr>
          <w:rFonts w:ascii="Times New Roman" w:hAnsi="Times New Roman" w:cs="Times New Roman"/>
        </w:rPr>
        <w:t>"</w:t>
      </w:r>
      <w:r w:rsidRPr="00A24728">
        <w:rPr>
          <w:rFonts w:ascii="Times New Roman" w:hAnsi="Times New Roman" w:cs="Times New Roman"/>
          <w:b/>
          <w:bCs/>
        </w:rPr>
        <w:t>Bidco</w:t>
      </w:r>
      <w:r w:rsidR="00150B9A">
        <w:rPr>
          <w:rFonts w:ascii="Times New Roman" w:hAnsi="Times New Roman" w:cs="Times New Roman"/>
        </w:rPr>
        <w:t>"</w:t>
      </w:r>
      <w:r w:rsidRPr="00A24728">
        <w:rPr>
          <w:rFonts w:ascii="Times New Roman" w:hAnsi="Times New Roman" w:cs="Times New Roman"/>
        </w:rPr>
        <w:t xml:space="preserve">), a wholly owned subsidiary of Bagnall, will acquire the entire issued and to be issued ordinary share capital of DORE that </w:t>
      </w:r>
      <w:r w:rsidR="00CC7C07" w:rsidRPr="00A24728">
        <w:rPr>
          <w:rFonts w:ascii="Times New Roman" w:hAnsi="Times New Roman" w:cs="Times New Roman"/>
        </w:rPr>
        <w:t xml:space="preserve">the </w:t>
      </w:r>
      <w:r w:rsidRPr="00A24728">
        <w:rPr>
          <w:rFonts w:ascii="Times New Roman" w:hAnsi="Times New Roman" w:cs="Times New Roman"/>
        </w:rPr>
        <w:t>Bagnall</w:t>
      </w:r>
      <w:r w:rsidR="00CC7C07" w:rsidRPr="00A24728">
        <w:rPr>
          <w:rFonts w:ascii="Times New Roman" w:hAnsi="Times New Roman" w:cs="Times New Roman"/>
        </w:rPr>
        <w:t xml:space="preserve"> </w:t>
      </w:r>
      <w:r w:rsidR="001D2C8C" w:rsidRPr="00A24728">
        <w:rPr>
          <w:rFonts w:ascii="Times New Roman" w:hAnsi="Times New Roman" w:cs="Times New Roman"/>
        </w:rPr>
        <w:t>Group</w:t>
      </w:r>
      <w:r w:rsidRPr="00A24728">
        <w:rPr>
          <w:rFonts w:ascii="Times New Roman" w:hAnsi="Times New Roman" w:cs="Times New Roman"/>
        </w:rPr>
        <w:t xml:space="preserve"> does not already own (the </w:t>
      </w:r>
      <w:r w:rsidR="00150B9A">
        <w:rPr>
          <w:rFonts w:ascii="Times New Roman" w:hAnsi="Times New Roman" w:cs="Times New Roman"/>
        </w:rPr>
        <w:t>"</w:t>
      </w:r>
      <w:r w:rsidRPr="00A24728">
        <w:rPr>
          <w:rFonts w:ascii="Times New Roman" w:hAnsi="Times New Roman" w:cs="Times New Roman"/>
          <w:b/>
          <w:bCs/>
        </w:rPr>
        <w:t>Acquisition</w:t>
      </w:r>
      <w:r w:rsidR="00150B9A">
        <w:rPr>
          <w:rFonts w:ascii="Times New Roman" w:hAnsi="Times New Roman" w:cs="Times New Roman"/>
        </w:rPr>
        <w:t>"</w:t>
      </w:r>
      <w:r w:rsidRPr="00A24728">
        <w:rPr>
          <w:rFonts w:ascii="Times New Roman" w:hAnsi="Times New Roman" w:cs="Times New Roman"/>
        </w:rPr>
        <w:t>)</w:t>
      </w:r>
      <w:r w:rsidR="00267BF7" w:rsidRPr="00A24728">
        <w:rPr>
          <w:rFonts w:ascii="Times New Roman" w:hAnsi="Times New Roman" w:cs="Times New Roman"/>
        </w:rPr>
        <w:t xml:space="preserve"> to be effected by means of a Court-sanctioned scheme of arrangement under Part 26 of the Companies Act 2006</w:t>
      </w:r>
      <w:r w:rsidR="00640391" w:rsidRPr="00A24728">
        <w:rPr>
          <w:rFonts w:ascii="Times New Roman" w:hAnsi="Times New Roman" w:cs="Times New Roman"/>
        </w:rPr>
        <w:t xml:space="preserve"> (the "</w:t>
      </w:r>
      <w:r w:rsidR="00640391" w:rsidRPr="00A24728">
        <w:rPr>
          <w:rFonts w:ascii="Times New Roman" w:hAnsi="Times New Roman" w:cs="Times New Roman"/>
          <w:b/>
          <w:bCs/>
        </w:rPr>
        <w:t>Scheme</w:t>
      </w:r>
      <w:r w:rsidR="00640391" w:rsidRPr="00A24728">
        <w:rPr>
          <w:rFonts w:ascii="Times New Roman" w:hAnsi="Times New Roman" w:cs="Times New Roman"/>
        </w:rPr>
        <w:t xml:space="preserve">"). A circular in relation to the Scheme was published </w:t>
      </w:r>
      <w:r w:rsidR="00A24728">
        <w:rPr>
          <w:rFonts w:ascii="Times New Roman" w:hAnsi="Times New Roman" w:cs="Times New Roman"/>
        </w:rPr>
        <w:t xml:space="preserve">and posted to DORE Shareholders </w:t>
      </w:r>
      <w:r w:rsidR="00640391" w:rsidRPr="00A24728">
        <w:rPr>
          <w:rFonts w:ascii="Times New Roman" w:hAnsi="Times New Roman" w:cs="Times New Roman"/>
        </w:rPr>
        <w:t>on 10 July 2025 (the "</w:t>
      </w:r>
      <w:r w:rsidR="00640391" w:rsidRPr="00A24728">
        <w:rPr>
          <w:rFonts w:ascii="Times New Roman" w:hAnsi="Times New Roman" w:cs="Times New Roman"/>
          <w:b/>
          <w:bCs/>
        </w:rPr>
        <w:t>Scheme Document</w:t>
      </w:r>
      <w:r w:rsidR="00640391" w:rsidRPr="00A24728">
        <w:rPr>
          <w:rFonts w:ascii="Times New Roman" w:hAnsi="Times New Roman" w:cs="Times New Roman"/>
        </w:rPr>
        <w:t>").</w:t>
      </w:r>
      <w:r w:rsidRPr="00A24728">
        <w:rPr>
          <w:rFonts w:ascii="Times New Roman" w:hAnsi="Times New Roman" w:cs="Times New Roman"/>
        </w:rPr>
        <w:t xml:space="preserve"> </w:t>
      </w:r>
    </w:p>
    <w:p w14:paraId="530510D4" w14:textId="1D9B1AF3" w:rsidR="00640391" w:rsidRPr="00A24728" w:rsidRDefault="00BC45A5" w:rsidP="00A24728">
      <w:pPr>
        <w:jc w:val="both"/>
        <w:rPr>
          <w:rFonts w:ascii="Times New Roman" w:hAnsi="Times New Roman" w:cs="Times New Roman"/>
          <w:b/>
          <w:bCs/>
          <w:lang w:val="en-GB"/>
        </w:rPr>
      </w:pPr>
      <w:r>
        <w:rPr>
          <w:rFonts w:ascii="Times New Roman" w:hAnsi="Times New Roman" w:cs="Times New Roman"/>
          <w:b/>
          <w:bCs/>
          <w:lang w:val="en-GB"/>
        </w:rPr>
        <w:t xml:space="preserve">Satisfaction of </w:t>
      </w:r>
      <w:r w:rsidR="00640391" w:rsidRPr="00A24728">
        <w:rPr>
          <w:rFonts w:ascii="Times New Roman" w:hAnsi="Times New Roman" w:cs="Times New Roman"/>
          <w:b/>
          <w:bCs/>
          <w:lang w:val="en-GB"/>
        </w:rPr>
        <w:t xml:space="preserve">Regulatory </w:t>
      </w:r>
      <w:r w:rsidR="00060A1B">
        <w:rPr>
          <w:rFonts w:ascii="Times New Roman" w:hAnsi="Times New Roman" w:cs="Times New Roman"/>
          <w:b/>
          <w:bCs/>
          <w:lang w:val="en-GB"/>
        </w:rPr>
        <w:t xml:space="preserve">Clearance </w:t>
      </w:r>
      <w:r w:rsidR="00640391" w:rsidRPr="00A24728">
        <w:rPr>
          <w:rFonts w:ascii="Times New Roman" w:hAnsi="Times New Roman" w:cs="Times New Roman"/>
          <w:b/>
          <w:bCs/>
          <w:lang w:val="en-GB"/>
        </w:rPr>
        <w:t>Condition</w:t>
      </w:r>
      <w:r w:rsidR="00E25512" w:rsidRPr="00A24728">
        <w:rPr>
          <w:rFonts w:ascii="Times New Roman" w:hAnsi="Times New Roman" w:cs="Times New Roman"/>
          <w:b/>
          <w:bCs/>
          <w:lang w:val="en-GB"/>
        </w:rPr>
        <w:t>s</w:t>
      </w:r>
    </w:p>
    <w:p w14:paraId="2A6F9B9A" w14:textId="11F5989D" w:rsidR="004750E0" w:rsidRDefault="008D1E15" w:rsidP="00A24728">
      <w:pPr>
        <w:pStyle w:val="AOA"/>
        <w:numPr>
          <w:ilvl w:val="0"/>
          <w:numId w:val="0"/>
        </w:numPr>
        <w:rPr>
          <w:lang w:val="en-IN"/>
        </w:rPr>
      </w:pPr>
      <w:r>
        <w:t>Bidco</w:t>
      </w:r>
      <w:r w:rsidR="004750E0">
        <w:t xml:space="preserve"> and DORE</w:t>
      </w:r>
      <w:r>
        <w:t xml:space="preserve"> are pleased to announce that</w:t>
      </w:r>
      <w:r w:rsidR="00D21159">
        <w:t xml:space="preserve"> the requisite regulatory clearances in relation to the OFGEM Condition have been received from OFGEM and therefore the Condition set out in paragraph 3.(b) of Part III (</w:t>
      </w:r>
      <w:r w:rsidR="00D21159" w:rsidRPr="00A24728">
        <w:rPr>
          <w:i/>
          <w:iCs/>
        </w:rPr>
        <w:t>Conditions to, and certain further terms of, the Acquisition and the Scheme</w:t>
      </w:r>
      <w:r w:rsidR="00D21159">
        <w:rPr>
          <w:i/>
          <w:iCs/>
          <w:lang w:val="en-IN"/>
        </w:rPr>
        <w:t xml:space="preserve">) </w:t>
      </w:r>
      <w:r w:rsidR="00D21159">
        <w:rPr>
          <w:lang w:val="en-IN"/>
        </w:rPr>
        <w:t>of the Scheme Document</w:t>
      </w:r>
      <w:r w:rsidR="00D21159">
        <w:rPr>
          <w:i/>
          <w:iCs/>
          <w:lang w:val="en-IN"/>
        </w:rPr>
        <w:t xml:space="preserve"> </w:t>
      </w:r>
      <w:r w:rsidR="00D21159">
        <w:rPr>
          <w:lang w:val="en-IN"/>
        </w:rPr>
        <w:t>has been satisfied.</w:t>
      </w:r>
    </w:p>
    <w:p w14:paraId="39E9709C" w14:textId="625D76A6" w:rsidR="004750E0" w:rsidRPr="004750E0" w:rsidRDefault="001804C0" w:rsidP="001804C0">
      <w:pPr>
        <w:pStyle w:val="AOA"/>
        <w:numPr>
          <w:ilvl w:val="0"/>
          <w:numId w:val="0"/>
        </w:numPr>
        <w:rPr>
          <w:lang w:val="en-IN"/>
        </w:rPr>
      </w:pPr>
      <w:r>
        <w:rPr>
          <w:lang w:val="en-IN"/>
        </w:rPr>
        <w:t xml:space="preserve">This follows the announcements on 29 July 2025, 5 August 2025 and 18 September 2025 by Bidco and DORE that </w:t>
      </w:r>
      <w:r w:rsidRPr="001804C0">
        <w:rPr>
          <w:lang w:val="en-IN"/>
        </w:rPr>
        <w:t>the requisite regulatory clearances in relation to the Swedish Foreign Direct Investment Condition had been received from the Swedish Inspectorate of Strategic Products</w:t>
      </w:r>
      <w:r>
        <w:rPr>
          <w:lang w:val="en-IN"/>
        </w:rPr>
        <w:t xml:space="preserve">, </w:t>
      </w:r>
      <w:r w:rsidRPr="001804C0">
        <w:rPr>
          <w:lang w:val="en-IN"/>
        </w:rPr>
        <w:t>the requisite regulatory clearances in relation to the NSIA Condition had been received from the Secretary of State for the Cabinet Office</w:t>
      </w:r>
      <w:r>
        <w:rPr>
          <w:lang w:val="en-IN"/>
        </w:rPr>
        <w:t xml:space="preserve"> and</w:t>
      </w:r>
      <w:r w:rsidRPr="001804C0">
        <w:rPr>
          <w:lang w:val="en-IN"/>
        </w:rPr>
        <w:t xml:space="preserve"> the Icelandic Foreign Direct Investment Condition had been satisfied</w:t>
      </w:r>
      <w:r>
        <w:rPr>
          <w:lang w:val="en-IN"/>
        </w:rPr>
        <w:t xml:space="preserve">.   </w:t>
      </w:r>
    </w:p>
    <w:p w14:paraId="6FF4D201" w14:textId="66EF7C4A" w:rsidR="00BC45A5" w:rsidRPr="00D82875" w:rsidRDefault="008D1E15" w:rsidP="00A24728">
      <w:pPr>
        <w:pStyle w:val="AOA"/>
        <w:numPr>
          <w:ilvl w:val="0"/>
          <w:numId w:val="0"/>
        </w:numPr>
      </w:pPr>
      <w:r>
        <w:t>Accordingly, all regulatory clearance conditions set out in conditions 3</w:t>
      </w:r>
      <w:r w:rsidR="00D82875">
        <w:t>.</w:t>
      </w:r>
      <w:r>
        <w:t xml:space="preserve">(a) to </w:t>
      </w:r>
      <w:r w:rsidR="00D82875">
        <w:t>3.</w:t>
      </w:r>
      <w:r>
        <w:t>(d) of Part A of Part III (</w:t>
      </w:r>
      <w:r w:rsidR="00D82875" w:rsidRPr="00A24728">
        <w:rPr>
          <w:i/>
          <w:iCs/>
        </w:rPr>
        <w:t>Conditions to, and certain further terms of, the Acquisition and the Scheme</w:t>
      </w:r>
      <w:r>
        <w:rPr>
          <w:i/>
          <w:iCs/>
          <w:lang w:val="en-IN"/>
        </w:rPr>
        <w:t>)</w:t>
      </w:r>
      <w:r w:rsidR="00D82875">
        <w:rPr>
          <w:i/>
          <w:iCs/>
          <w:lang w:val="en-IN"/>
        </w:rPr>
        <w:t xml:space="preserve"> </w:t>
      </w:r>
      <w:r w:rsidR="00D82875">
        <w:rPr>
          <w:lang w:val="en-IN"/>
        </w:rPr>
        <w:t xml:space="preserve">of the Scheme Document have now been satisfied. </w:t>
      </w:r>
    </w:p>
    <w:p w14:paraId="3F2574BF" w14:textId="4D17D9E0" w:rsidR="00D82875" w:rsidRPr="00D82875" w:rsidRDefault="00D82875" w:rsidP="00D82875">
      <w:pPr>
        <w:pStyle w:val="AODocTxt"/>
        <w:rPr>
          <w:b/>
          <w:bCs/>
        </w:rPr>
      </w:pPr>
      <w:r w:rsidRPr="00D82875">
        <w:rPr>
          <w:b/>
          <w:bCs/>
        </w:rPr>
        <w:t xml:space="preserve">Next </w:t>
      </w:r>
      <w:r>
        <w:rPr>
          <w:b/>
          <w:bCs/>
        </w:rPr>
        <w:t>S</w:t>
      </w:r>
      <w:r w:rsidRPr="00D82875">
        <w:rPr>
          <w:b/>
          <w:bCs/>
        </w:rPr>
        <w:t xml:space="preserve">teps and </w:t>
      </w:r>
      <w:r>
        <w:rPr>
          <w:b/>
          <w:bCs/>
        </w:rPr>
        <w:t>T</w:t>
      </w:r>
      <w:r w:rsidRPr="00D82875">
        <w:rPr>
          <w:b/>
          <w:bCs/>
        </w:rPr>
        <w:t>imetable</w:t>
      </w:r>
    </w:p>
    <w:p w14:paraId="41045692" w14:textId="33A38395" w:rsidR="00D82875" w:rsidRDefault="00D82875" w:rsidP="00A24728">
      <w:pPr>
        <w:pStyle w:val="AOA"/>
        <w:numPr>
          <w:ilvl w:val="0"/>
          <w:numId w:val="0"/>
        </w:numPr>
        <w:rPr>
          <w:lang w:val="en-IN"/>
        </w:rPr>
      </w:pPr>
      <w:r w:rsidRPr="00D82875">
        <w:rPr>
          <w:lang w:val="en-IN"/>
        </w:rPr>
        <w:t xml:space="preserve">Completion of the Acquisition remains subject to the satisfaction (or, if applicable, waiver) of the remaining Conditions set out in Part III </w:t>
      </w:r>
      <w:r>
        <w:rPr>
          <w:lang w:val="en-IN"/>
        </w:rPr>
        <w:t>of</w:t>
      </w:r>
      <w:r w:rsidRPr="00A24728">
        <w:rPr>
          <w:lang w:val="en-IN"/>
        </w:rPr>
        <w:t xml:space="preserve"> the Scheme Document</w:t>
      </w:r>
      <w:r>
        <w:rPr>
          <w:lang w:val="en-IN"/>
        </w:rPr>
        <w:t>, including the s</w:t>
      </w:r>
      <w:r w:rsidRPr="00A24728">
        <w:rPr>
          <w:lang w:val="en-IN"/>
        </w:rPr>
        <w:t xml:space="preserve">anction of the Scheme </w:t>
      </w:r>
      <w:r w:rsidRPr="00A24728">
        <w:rPr>
          <w:lang w:val="en-IN"/>
        </w:rPr>
        <w:lastRenderedPageBreak/>
        <w:t xml:space="preserve">by the Court at the </w:t>
      </w:r>
      <w:r>
        <w:rPr>
          <w:lang w:val="en-IN"/>
        </w:rPr>
        <w:t xml:space="preserve">Court </w:t>
      </w:r>
      <w:r w:rsidRPr="00A24728">
        <w:rPr>
          <w:lang w:val="en-IN"/>
        </w:rPr>
        <w:t>Sanction Hearing</w:t>
      </w:r>
      <w:r>
        <w:rPr>
          <w:lang w:val="en-IN"/>
        </w:rPr>
        <w:t xml:space="preserve"> and </w:t>
      </w:r>
      <w:r w:rsidRPr="00A24728">
        <w:rPr>
          <w:lang w:val="en-IN"/>
        </w:rPr>
        <w:t>the delivery of a copy of the Court Order to the Registrar of Companies</w:t>
      </w:r>
      <w:r>
        <w:rPr>
          <w:lang w:val="en-IN"/>
        </w:rPr>
        <w:t>.</w:t>
      </w:r>
    </w:p>
    <w:p w14:paraId="3F66C61A" w14:textId="0D691F3C" w:rsidR="00E177C2" w:rsidRDefault="00D82875" w:rsidP="00B13104">
      <w:pPr>
        <w:pStyle w:val="AODocTxt"/>
        <w:rPr>
          <w:lang w:val="en-IN"/>
        </w:rPr>
      </w:pPr>
      <w:r w:rsidRPr="00D82875">
        <w:rPr>
          <w:lang w:val="en-IN"/>
        </w:rPr>
        <w:t xml:space="preserve">An updated expected timetable of the remaining principal events is </w:t>
      </w:r>
      <w:r>
        <w:rPr>
          <w:lang w:val="en-IN"/>
        </w:rPr>
        <w:t xml:space="preserve">further described below. </w:t>
      </w:r>
      <w:r w:rsidRPr="00D82875">
        <w:rPr>
          <w:lang w:val="en-IN"/>
        </w:rPr>
        <w:t xml:space="preserve">The </w:t>
      </w:r>
      <w:r w:rsidR="001519B9">
        <w:rPr>
          <w:lang w:val="en-IN"/>
        </w:rPr>
        <w:t xml:space="preserve">Court </w:t>
      </w:r>
      <w:r w:rsidRPr="00D82875">
        <w:rPr>
          <w:lang w:val="en-IN"/>
        </w:rPr>
        <w:t xml:space="preserve">Sanction Hearing has been scheduled to be held on </w:t>
      </w:r>
      <w:r>
        <w:rPr>
          <w:lang w:val="en-IN"/>
        </w:rPr>
        <w:t>31 October 2025</w:t>
      </w:r>
      <w:r w:rsidRPr="00D82875">
        <w:rPr>
          <w:lang w:val="en-IN"/>
        </w:rPr>
        <w:t>. Details of the</w:t>
      </w:r>
      <w:r w:rsidR="00844310">
        <w:rPr>
          <w:lang w:val="en-IN"/>
        </w:rPr>
        <w:t xml:space="preserve"> Court</w:t>
      </w:r>
      <w:r w:rsidRPr="00D82875">
        <w:rPr>
          <w:lang w:val="en-IN"/>
        </w:rPr>
        <w:t xml:space="preserve"> Sanction Hearing will be available on the Court service website at </w:t>
      </w:r>
      <w:r w:rsidRPr="00D82875">
        <w:rPr>
          <w:i/>
          <w:iCs/>
          <w:u w:val="single"/>
          <w:lang w:val="en-IN"/>
        </w:rPr>
        <w:t>www.justice.gov.uk</w:t>
      </w:r>
      <w:r w:rsidRPr="00D82875">
        <w:rPr>
          <w:lang w:val="en-IN"/>
        </w:rPr>
        <w:t xml:space="preserve"> on the date before the </w:t>
      </w:r>
      <w:r w:rsidR="00844310">
        <w:rPr>
          <w:lang w:val="en-IN"/>
        </w:rPr>
        <w:t xml:space="preserve">Court </w:t>
      </w:r>
      <w:r w:rsidRPr="00D82875">
        <w:rPr>
          <w:lang w:val="en-IN"/>
        </w:rPr>
        <w:t>Sanction Hearing.</w:t>
      </w:r>
      <w:r w:rsidR="00E177C2">
        <w:rPr>
          <w:lang w:val="en-IN"/>
        </w:rPr>
        <w:t xml:space="preserve"> </w:t>
      </w:r>
      <w:r w:rsidRPr="00D82875">
        <w:rPr>
          <w:lang w:val="en-IN"/>
        </w:rPr>
        <w:t xml:space="preserve">Subject to </w:t>
      </w:r>
      <w:r w:rsidR="00844310">
        <w:rPr>
          <w:lang w:val="en-IN"/>
        </w:rPr>
        <w:t xml:space="preserve">the </w:t>
      </w:r>
      <w:r w:rsidRPr="00D82875">
        <w:rPr>
          <w:lang w:val="en-IN"/>
        </w:rPr>
        <w:t xml:space="preserve">satisfaction of the remaining Conditions, the Effective Date of the Scheme is expected to be </w:t>
      </w:r>
      <w:r w:rsidR="001519B9">
        <w:rPr>
          <w:bCs/>
        </w:rPr>
        <w:t>4 November</w:t>
      </w:r>
      <w:r w:rsidR="00253C74" w:rsidRPr="00253C74">
        <w:rPr>
          <w:bCs/>
        </w:rPr>
        <w:t xml:space="preserve"> </w:t>
      </w:r>
      <w:r w:rsidR="00253C74" w:rsidRPr="00253C74">
        <w:rPr>
          <w:rFonts w:eastAsia="Times New Roman"/>
          <w:bCs/>
        </w:rPr>
        <w:t>2025</w:t>
      </w:r>
      <w:r w:rsidRPr="00D82875">
        <w:rPr>
          <w:lang w:val="en-IN"/>
        </w:rPr>
        <w:t>. A further announcement will be made when the Court sanctions the Scheme.</w:t>
      </w:r>
    </w:p>
    <w:p w14:paraId="0660CC79" w14:textId="02E1AE4A" w:rsidR="00582ED3" w:rsidRPr="00582ED3" w:rsidRDefault="00582ED3" w:rsidP="00C23B0C">
      <w:pPr>
        <w:spacing w:before="240" w:after="0" w:line="260" w:lineRule="atLeast"/>
        <w:jc w:val="both"/>
        <w:rPr>
          <w:rFonts w:ascii="Times New Roman" w:hAnsi="Times New Roman" w:cs="Times New Roman"/>
          <w:lang w:val="en-GB"/>
        </w:rPr>
      </w:pPr>
      <w:r w:rsidRPr="00A24728">
        <w:rPr>
          <w:rFonts w:ascii="Times New Roman" w:hAnsi="Times New Roman" w:cs="Times New Roman"/>
          <w:lang w:val="en-GB"/>
        </w:rPr>
        <w:t xml:space="preserve">Unless otherwise defined in this announcement, capitalised words and phrases used in this announcement shall have the same meanings given to them in the Scheme Document. </w:t>
      </w:r>
    </w:p>
    <w:p w14:paraId="5AA0642A" w14:textId="36494D99" w:rsidR="00E25512" w:rsidRPr="00A24728" w:rsidRDefault="00E25512" w:rsidP="00E25512">
      <w:pPr>
        <w:pStyle w:val="AOA"/>
        <w:numPr>
          <w:ilvl w:val="0"/>
          <w:numId w:val="0"/>
        </w:numPr>
        <w:ind w:left="720" w:hanging="720"/>
        <w:jc w:val="center"/>
        <w:rPr>
          <w:b/>
          <w:bCs/>
        </w:rPr>
      </w:pPr>
      <w:r w:rsidRPr="00A24728">
        <w:rPr>
          <w:b/>
          <w:bCs/>
        </w:rPr>
        <w:t>EXPECTED TIMETABLE OF PRINCIPAL EVENTS</w:t>
      </w:r>
    </w:p>
    <w:p w14:paraId="3F2BB375" w14:textId="77777777" w:rsidR="00A24728" w:rsidRPr="00A24728" w:rsidRDefault="00A24728" w:rsidP="00A24728">
      <w:pPr>
        <w:widowControl w:val="0"/>
        <w:overflowPunct w:val="0"/>
        <w:autoSpaceDE w:val="0"/>
        <w:autoSpaceDN w:val="0"/>
        <w:adjustRightInd w:val="0"/>
        <w:spacing w:after="0" w:line="251" w:lineRule="auto"/>
        <w:ind w:left="3"/>
        <w:jc w:val="both"/>
        <w:rPr>
          <w:rFonts w:ascii="Times New Roman" w:eastAsia="Times New Roman" w:hAnsi="Times New Roman" w:cs="Times New Roman"/>
          <w:sz w:val="20"/>
          <w:szCs w:val="20"/>
        </w:rPr>
      </w:pPr>
    </w:p>
    <w:p w14:paraId="53BA0D1C" w14:textId="460B6B99" w:rsidR="00A24728" w:rsidRPr="00A24728" w:rsidRDefault="00A24728" w:rsidP="00A24728">
      <w:pPr>
        <w:widowControl w:val="0"/>
        <w:overflowPunct w:val="0"/>
        <w:autoSpaceDE w:val="0"/>
        <w:autoSpaceDN w:val="0"/>
        <w:adjustRightInd w:val="0"/>
        <w:spacing w:after="0" w:line="251" w:lineRule="auto"/>
        <w:ind w:left="3"/>
        <w:jc w:val="both"/>
        <w:rPr>
          <w:rFonts w:ascii="Times New Roman" w:eastAsia="Times New Roman" w:hAnsi="Times New Roman" w:cs="Times New Roman"/>
        </w:rPr>
      </w:pPr>
      <w:r w:rsidRPr="00A24728">
        <w:rPr>
          <w:rFonts w:ascii="Times New Roman" w:eastAsia="Times New Roman" w:hAnsi="Times New Roman" w:cs="Times New Roman"/>
        </w:rPr>
        <w:t>The following indicative timetable is based on DORE's and Bidco's current expectations of the dates for the implementation of the Scheme and is subject to change. If any of the dates and/or times in this expected timetable change, the revised dates and/or times will be notified to DORE Shareholders by announcement through the Regulatory Information Service of the London Stock Exchange with such announcement being made available on DORE's website at https://www.doretrust.com/announcement and, if required by the Panel, by posting notice of the change(s) to DORE Shareholders.</w:t>
      </w:r>
    </w:p>
    <w:p w14:paraId="7D5CB02B" w14:textId="77777777" w:rsidR="00A24728" w:rsidRPr="00A24728" w:rsidRDefault="00A24728" w:rsidP="00A24728">
      <w:pPr>
        <w:widowControl w:val="0"/>
        <w:autoSpaceDE w:val="0"/>
        <w:autoSpaceDN w:val="0"/>
        <w:adjustRightInd w:val="0"/>
        <w:spacing w:after="0" w:line="185" w:lineRule="exact"/>
        <w:rPr>
          <w:rFonts w:ascii="Times New Roman" w:eastAsia="Times New Roman" w:hAnsi="Times New Roman" w:cs="Times New Roman"/>
        </w:rPr>
      </w:pPr>
    </w:p>
    <w:p w14:paraId="67DF54A2" w14:textId="77777777" w:rsidR="00A24728" w:rsidRPr="00A24728" w:rsidRDefault="00A24728" w:rsidP="00A24728">
      <w:pPr>
        <w:widowControl w:val="0"/>
        <w:overflowPunct w:val="0"/>
        <w:autoSpaceDE w:val="0"/>
        <w:autoSpaceDN w:val="0"/>
        <w:adjustRightInd w:val="0"/>
        <w:spacing w:after="0" w:line="253" w:lineRule="auto"/>
        <w:ind w:left="3" w:right="140"/>
        <w:rPr>
          <w:rFonts w:ascii="Times New Roman" w:eastAsia="Times New Roman" w:hAnsi="Times New Roman" w:cs="Times New Roman"/>
        </w:rPr>
      </w:pPr>
      <w:r w:rsidRPr="00A24728">
        <w:rPr>
          <w:rFonts w:ascii="Times New Roman" w:eastAsia="Times New Roman" w:hAnsi="Times New Roman" w:cs="Times New Roman"/>
          <w:b/>
          <w:bCs/>
        </w:rPr>
        <w:t>The following dates and times associated with the Scheme are indicative only and are subject to change.</w:t>
      </w:r>
      <w:r w:rsidRPr="00A24728">
        <w:rPr>
          <w:rFonts w:ascii="Times New Roman" w:eastAsia="Times New Roman" w:hAnsi="Times New Roman" w:cs="Times New Roman"/>
          <w:vertAlign w:val="superscript"/>
        </w:rPr>
        <w:t>1</w:t>
      </w:r>
    </w:p>
    <w:p w14:paraId="7DBEC428" w14:textId="77777777" w:rsidR="00A24728" w:rsidRPr="00A24728" w:rsidRDefault="00A24728" w:rsidP="00A24728">
      <w:pPr>
        <w:widowControl w:val="0"/>
        <w:autoSpaceDE w:val="0"/>
        <w:autoSpaceDN w:val="0"/>
        <w:adjustRightInd w:val="0"/>
        <w:spacing w:after="0" w:line="179" w:lineRule="exact"/>
        <w:rPr>
          <w:rFonts w:ascii="Times New Roman" w:eastAsia="Times New Roman" w:hAnsi="Times New Roman" w:cs="Times New Roman"/>
        </w:rPr>
      </w:pPr>
    </w:p>
    <w:tbl>
      <w:tblPr>
        <w:tblW w:w="9040" w:type="dxa"/>
        <w:tblInd w:w="3" w:type="dxa"/>
        <w:tblLayout w:type="fixed"/>
        <w:tblCellMar>
          <w:left w:w="0" w:type="dxa"/>
          <w:right w:w="0" w:type="dxa"/>
        </w:tblCellMar>
        <w:tblLook w:val="0000" w:firstRow="0" w:lastRow="0" w:firstColumn="0" w:lastColumn="0" w:noHBand="0" w:noVBand="0"/>
      </w:tblPr>
      <w:tblGrid>
        <w:gridCol w:w="5526"/>
        <w:gridCol w:w="3514"/>
      </w:tblGrid>
      <w:tr w:rsidR="00A24728" w:rsidRPr="00A24728" w14:paraId="7778CDFA" w14:textId="77777777" w:rsidTr="00C23B0C">
        <w:trPr>
          <w:trHeight w:val="276"/>
        </w:trPr>
        <w:tc>
          <w:tcPr>
            <w:tcW w:w="5526" w:type="dxa"/>
            <w:tcBorders>
              <w:top w:val="nil"/>
              <w:left w:val="nil"/>
              <w:bottom w:val="nil"/>
              <w:right w:val="nil"/>
            </w:tcBorders>
            <w:vAlign w:val="bottom"/>
          </w:tcPr>
          <w:p w14:paraId="1A7835A9"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i/>
                <w:iCs/>
              </w:rPr>
            </w:pPr>
            <w:r w:rsidRPr="00A24728">
              <w:rPr>
                <w:rFonts w:ascii="Times New Roman" w:eastAsia="Times New Roman" w:hAnsi="Times New Roman" w:cs="Times New Roman"/>
                <w:i/>
                <w:iCs/>
              </w:rPr>
              <w:t>Event</w:t>
            </w:r>
          </w:p>
          <w:p w14:paraId="10AF4314"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p>
        </w:tc>
        <w:tc>
          <w:tcPr>
            <w:tcW w:w="3514" w:type="dxa"/>
            <w:tcBorders>
              <w:top w:val="nil"/>
              <w:left w:val="nil"/>
              <w:bottom w:val="nil"/>
              <w:right w:val="nil"/>
            </w:tcBorders>
            <w:vAlign w:val="bottom"/>
          </w:tcPr>
          <w:p w14:paraId="2EAD0FF6" w14:textId="77777777"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i/>
                <w:iCs/>
                <w:vertAlign w:val="superscript"/>
              </w:rPr>
            </w:pPr>
            <w:r w:rsidRPr="00A24728">
              <w:rPr>
                <w:rFonts w:ascii="Times New Roman" w:eastAsia="Times New Roman" w:hAnsi="Times New Roman" w:cs="Times New Roman"/>
                <w:i/>
                <w:iCs/>
              </w:rPr>
              <w:t>Expected time and/or date</w:t>
            </w:r>
            <w:r w:rsidRPr="00A24728">
              <w:rPr>
                <w:rFonts w:ascii="Times New Roman" w:eastAsia="Times New Roman" w:hAnsi="Times New Roman" w:cs="Times New Roman"/>
                <w:i/>
                <w:iCs/>
                <w:vertAlign w:val="superscript"/>
              </w:rPr>
              <w:t>1</w:t>
            </w:r>
          </w:p>
          <w:p w14:paraId="404A24F6" w14:textId="77777777"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p>
        </w:tc>
      </w:tr>
      <w:tr w:rsidR="00A24728" w:rsidRPr="00A24728" w14:paraId="7D041314" w14:textId="77777777" w:rsidTr="00C23B0C">
        <w:trPr>
          <w:trHeight w:val="309"/>
        </w:trPr>
        <w:tc>
          <w:tcPr>
            <w:tcW w:w="5526" w:type="dxa"/>
            <w:tcBorders>
              <w:top w:val="nil"/>
              <w:left w:val="nil"/>
              <w:bottom w:val="nil"/>
              <w:right w:val="nil"/>
            </w:tcBorders>
            <w:vAlign w:val="bottom"/>
          </w:tcPr>
          <w:p w14:paraId="7082DD23"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b/>
                <w:bCs/>
              </w:rPr>
            </w:pPr>
            <w:r w:rsidRPr="00A24728">
              <w:rPr>
                <w:rFonts w:ascii="Times New Roman" w:eastAsia="Times New Roman" w:hAnsi="Times New Roman" w:cs="Times New Roman"/>
              </w:rPr>
              <w:t>Last day of dealings in DORE Shares for normal settlement</w:t>
            </w:r>
          </w:p>
        </w:tc>
        <w:tc>
          <w:tcPr>
            <w:tcW w:w="3514" w:type="dxa"/>
            <w:tcBorders>
              <w:top w:val="nil"/>
              <w:left w:val="nil"/>
              <w:bottom w:val="nil"/>
              <w:right w:val="nil"/>
            </w:tcBorders>
            <w:vAlign w:val="bottom"/>
          </w:tcPr>
          <w:p w14:paraId="676A8884" w14:textId="234B212F" w:rsidR="00A24728" w:rsidRPr="00A24728" w:rsidRDefault="00F0665D" w:rsidP="00A2472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hAnsi="Times New Roman" w:cs="Times New Roman"/>
                <w:b/>
              </w:rPr>
              <w:t>30 October</w:t>
            </w:r>
            <w:r w:rsidR="00E177C2" w:rsidRPr="00253C74">
              <w:rPr>
                <w:rFonts w:ascii="Times New Roman" w:hAnsi="Times New Roman" w:cs="Times New Roman"/>
                <w:b/>
              </w:rPr>
              <w:t xml:space="preserve"> </w:t>
            </w:r>
            <w:r w:rsidR="00E177C2" w:rsidRPr="00253C74">
              <w:rPr>
                <w:rFonts w:ascii="Times New Roman" w:eastAsia="Times New Roman" w:hAnsi="Times New Roman" w:cs="Times New Roman"/>
                <w:b/>
                <w:bCs/>
              </w:rPr>
              <w:t>2025</w:t>
            </w:r>
          </w:p>
        </w:tc>
      </w:tr>
      <w:tr w:rsidR="00A24728" w:rsidRPr="00A24728" w14:paraId="4F0F7E27" w14:textId="77777777" w:rsidTr="00C23B0C">
        <w:trPr>
          <w:trHeight w:val="309"/>
        </w:trPr>
        <w:tc>
          <w:tcPr>
            <w:tcW w:w="5526" w:type="dxa"/>
            <w:tcBorders>
              <w:top w:val="nil"/>
              <w:left w:val="nil"/>
              <w:bottom w:val="nil"/>
              <w:right w:val="nil"/>
            </w:tcBorders>
          </w:tcPr>
          <w:p w14:paraId="205CF262"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b/>
                <w:bCs/>
              </w:rPr>
            </w:pPr>
            <w:r w:rsidRPr="00A24728">
              <w:rPr>
                <w:rFonts w:ascii="Times New Roman" w:eastAsia="Times New Roman" w:hAnsi="Times New Roman" w:cs="Times New Roman"/>
                <w:b/>
                <w:bCs/>
              </w:rPr>
              <w:t>Court Sanction Hearing</w:t>
            </w:r>
          </w:p>
          <w:p w14:paraId="13B7E875"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b/>
                <w:bCs/>
              </w:rPr>
            </w:pPr>
          </w:p>
        </w:tc>
        <w:tc>
          <w:tcPr>
            <w:tcW w:w="3514" w:type="dxa"/>
            <w:tcBorders>
              <w:top w:val="nil"/>
              <w:left w:val="nil"/>
              <w:bottom w:val="nil"/>
              <w:right w:val="nil"/>
            </w:tcBorders>
          </w:tcPr>
          <w:p w14:paraId="115D9AFC" w14:textId="7BACD13A" w:rsidR="00A24728" w:rsidRPr="00E177C2" w:rsidRDefault="00E177C2" w:rsidP="00A24728">
            <w:pPr>
              <w:widowControl w:val="0"/>
              <w:autoSpaceDE w:val="0"/>
              <w:autoSpaceDN w:val="0"/>
              <w:adjustRightInd w:val="0"/>
              <w:spacing w:after="0" w:line="240" w:lineRule="auto"/>
              <w:jc w:val="right"/>
              <w:rPr>
                <w:rFonts w:ascii="Times New Roman" w:eastAsia="Times New Roman" w:hAnsi="Times New Roman" w:cs="Times New Roman"/>
                <w:b/>
                <w:bCs/>
              </w:rPr>
            </w:pPr>
            <w:r w:rsidRPr="00E177C2">
              <w:rPr>
                <w:rFonts w:ascii="Times New Roman" w:eastAsia="Times New Roman" w:hAnsi="Times New Roman" w:cs="Times New Roman"/>
                <w:b/>
                <w:bCs/>
              </w:rPr>
              <w:t>31 October 2025</w:t>
            </w:r>
          </w:p>
        </w:tc>
      </w:tr>
      <w:tr w:rsidR="00A24728" w:rsidRPr="00A24728" w14:paraId="658951E5" w14:textId="77777777" w:rsidTr="00C23B0C">
        <w:trPr>
          <w:trHeight w:val="309"/>
        </w:trPr>
        <w:tc>
          <w:tcPr>
            <w:tcW w:w="5526" w:type="dxa"/>
            <w:tcBorders>
              <w:top w:val="nil"/>
              <w:left w:val="nil"/>
              <w:bottom w:val="nil"/>
              <w:right w:val="nil"/>
            </w:tcBorders>
          </w:tcPr>
          <w:p w14:paraId="20677862"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Announcement in respect of the Scheme to be published through a Regulatory Information Service</w:t>
            </w:r>
          </w:p>
        </w:tc>
        <w:tc>
          <w:tcPr>
            <w:tcW w:w="3514" w:type="dxa"/>
            <w:tcBorders>
              <w:top w:val="nil"/>
              <w:left w:val="nil"/>
              <w:bottom w:val="nil"/>
              <w:right w:val="nil"/>
            </w:tcBorders>
          </w:tcPr>
          <w:p w14:paraId="3C8215C1" w14:textId="2F4B7A52" w:rsidR="00A24728" w:rsidRPr="00A24728" w:rsidRDefault="00F0665D" w:rsidP="00A2472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hAnsi="Times New Roman" w:cs="Times New Roman"/>
                <w:b/>
              </w:rPr>
              <w:t>31 October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tc>
      </w:tr>
      <w:tr w:rsidR="00A24728" w:rsidRPr="00A24728" w14:paraId="56A2D563" w14:textId="77777777" w:rsidTr="00C23B0C">
        <w:trPr>
          <w:trHeight w:val="467"/>
        </w:trPr>
        <w:tc>
          <w:tcPr>
            <w:tcW w:w="5526" w:type="dxa"/>
            <w:tcBorders>
              <w:top w:val="nil"/>
              <w:left w:val="nil"/>
              <w:bottom w:val="nil"/>
              <w:right w:val="nil"/>
            </w:tcBorders>
          </w:tcPr>
          <w:p w14:paraId="6017B4A7"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Last day for the registration of transfers of DORE Shares</w:t>
            </w:r>
          </w:p>
        </w:tc>
        <w:tc>
          <w:tcPr>
            <w:tcW w:w="3514" w:type="dxa"/>
            <w:tcBorders>
              <w:top w:val="nil"/>
              <w:left w:val="nil"/>
              <w:bottom w:val="nil"/>
              <w:right w:val="nil"/>
            </w:tcBorders>
          </w:tcPr>
          <w:p w14:paraId="087A4B2E" w14:textId="1079EB67" w:rsidR="00A24728" w:rsidRPr="00A24728" w:rsidRDefault="00844310" w:rsidP="00A24728">
            <w:pPr>
              <w:widowControl w:val="0"/>
              <w:autoSpaceDE w:val="0"/>
              <w:autoSpaceDN w:val="0"/>
              <w:adjustRightInd w:val="0"/>
              <w:spacing w:after="0" w:line="240" w:lineRule="auto"/>
              <w:jc w:val="right"/>
              <w:rPr>
                <w:rFonts w:ascii="Times New Roman" w:eastAsia="Times New Roman" w:hAnsi="Times New Roman" w:cs="Times New Roman"/>
              </w:rPr>
            </w:pPr>
            <w:r>
              <w:rPr>
                <w:rFonts w:ascii="Times New Roman" w:hAnsi="Times New Roman" w:cs="Times New Roman"/>
                <w:b/>
              </w:rPr>
              <w:t>3 November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tc>
      </w:tr>
      <w:tr w:rsidR="00A24728" w:rsidRPr="00A24728" w14:paraId="0CE16AAD" w14:textId="77777777" w:rsidTr="00C23B0C">
        <w:trPr>
          <w:trHeight w:val="467"/>
        </w:trPr>
        <w:tc>
          <w:tcPr>
            <w:tcW w:w="5526" w:type="dxa"/>
            <w:tcBorders>
              <w:top w:val="nil"/>
              <w:left w:val="nil"/>
              <w:bottom w:val="nil"/>
              <w:right w:val="nil"/>
            </w:tcBorders>
          </w:tcPr>
          <w:p w14:paraId="3FE12137"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Scheme Record Time</w:t>
            </w:r>
          </w:p>
        </w:tc>
        <w:tc>
          <w:tcPr>
            <w:tcW w:w="3514" w:type="dxa"/>
            <w:tcBorders>
              <w:top w:val="nil"/>
              <w:left w:val="nil"/>
              <w:bottom w:val="nil"/>
              <w:right w:val="nil"/>
            </w:tcBorders>
          </w:tcPr>
          <w:p w14:paraId="3AC40430" w14:textId="6BD0DBA6"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r w:rsidRPr="00A24728">
              <w:rPr>
                <w:rFonts w:ascii="Times New Roman" w:eastAsia="Times New Roman" w:hAnsi="Times New Roman" w:cs="Times New Roman"/>
              </w:rPr>
              <w:t xml:space="preserve">6.00 p.m. on </w:t>
            </w:r>
            <w:r w:rsidR="00844310">
              <w:rPr>
                <w:rFonts w:ascii="Times New Roman" w:hAnsi="Times New Roman" w:cs="Times New Roman"/>
                <w:b/>
              </w:rPr>
              <w:t>3 November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tc>
      </w:tr>
      <w:tr w:rsidR="00A24728" w:rsidRPr="00A24728" w14:paraId="728F0839" w14:textId="77777777" w:rsidTr="00C23B0C">
        <w:trPr>
          <w:trHeight w:val="467"/>
        </w:trPr>
        <w:tc>
          <w:tcPr>
            <w:tcW w:w="5526" w:type="dxa"/>
            <w:tcBorders>
              <w:top w:val="nil"/>
              <w:left w:val="nil"/>
              <w:bottom w:val="nil"/>
              <w:right w:val="nil"/>
            </w:tcBorders>
          </w:tcPr>
          <w:p w14:paraId="3EC61C08"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Disablement in CREST of DORE Shares</w:t>
            </w:r>
          </w:p>
        </w:tc>
        <w:tc>
          <w:tcPr>
            <w:tcW w:w="3514" w:type="dxa"/>
            <w:tcBorders>
              <w:top w:val="nil"/>
              <w:left w:val="nil"/>
              <w:bottom w:val="nil"/>
              <w:right w:val="nil"/>
            </w:tcBorders>
          </w:tcPr>
          <w:p w14:paraId="512E26B0" w14:textId="544965EC"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r w:rsidRPr="00A24728">
              <w:rPr>
                <w:rFonts w:ascii="Times New Roman" w:eastAsia="Times New Roman" w:hAnsi="Times New Roman" w:cs="Times New Roman"/>
              </w:rPr>
              <w:t xml:space="preserve">6.00 p.m. on </w:t>
            </w:r>
            <w:r w:rsidR="00844310">
              <w:rPr>
                <w:rFonts w:ascii="Times New Roman" w:hAnsi="Times New Roman" w:cs="Times New Roman"/>
                <w:b/>
              </w:rPr>
              <w:t>3 November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tc>
      </w:tr>
      <w:tr w:rsidR="00A24728" w:rsidRPr="00A24728" w14:paraId="21DABBC8" w14:textId="77777777" w:rsidTr="00C23B0C">
        <w:trPr>
          <w:trHeight w:val="467"/>
        </w:trPr>
        <w:tc>
          <w:tcPr>
            <w:tcW w:w="5526" w:type="dxa"/>
            <w:tcBorders>
              <w:top w:val="nil"/>
              <w:left w:val="nil"/>
              <w:bottom w:val="nil"/>
              <w:right w:val="nil"/>
            </w:tcBorders>
          </w:tcPr>
          <w:p w14:paraId="743B6E30"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Suspension of dealings in DORE Shares on the London Stock Exchange</w:t>
            </w:r>
          </w:p>
        </w:tc>
        <w:tc>
          <w:tcPr>
            <w:tcW w:w="3514" w:type="dxa"/>
            <w:tcBorders>
              <w:top w:val="nil"/>
              <w:left w:val="nil"/>
              <w:bottom w:val="nil"/>
              <w:right w:val="nil"/>
            </w:tcBorders>
          </w:tcPr>
          <w:p w14:paraId="26FF0E77" w14:textId="5CA5F9B4"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r w:rsidRPr="00A24728">
              <w:rPr>
                <w:rFonts w:ascii="Times New Roman" w:eastAsia="Times New Roman" w:hAnsi="Times New Roman" w:cs="Times New Roman"/>
              </w:rPr>
              <w:t xml:space="preserve">7.30 a.m. on </w:t>
            </w:r>
            <w:r w:rsidR="00844310">
              <w:rPr>
                <w:rFonts w:ascii="Times New Roman" w:hAnsi="Times New Roman" w:cs="Times New Roman"/>
                <w:b/>
              </w:rPr>
              <w:t>4 November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tc>
      </w:tr>
      <w:tr w:rsidR="00A24728" w:rsidRPr="00A24728" w14:paraId="16484BD0" w14:textId="77777777" w:rsidTr="00C23B0C">
        <w:trPr>
          <w:trHeight w:val="467"/>
        </w:trPr>
        <w:tc>
          <w:tcPr>
            <w:tcW w:w="5526" w:type="dxa"/>
            <w:tcBorders>
              <w:top w:val="nil"/>
              <w:left w:val="nil"/>
              <w:bottom w:val="nil"/>
              <w:right w:val="nil"/>
            </w:tcBorders>
          </w:tcPr>
          <w:p w14:paraId="5F62A53F"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b/>
                <w:bCs/>
              </w:rPr>
              <w:t>Effective Date of the Scheme</w:t>
            </w:r>
          </w:p>
        </w:tc>
        <w:tc>
          <w:tcPr>
            <w:tcW w:w="3514" w:type="dxa"/>
            <w:tcBorders>
              <w:top w:val="nil"/>
              <w:left w:val="nil"/>
              <w:bottom w:val="nil"/>
              <w:right w:val="nil"/>
            </w:tcBorders>
          </w:tcPr>
          <w:p w14:paraId="692EC2D5" w14:textId="6F3E7A07" w:rsidR="00A24728" w:rsidRDefault="00844310" w:rsidP="00A24728">
            <w:pPr>
              <w:widowControl w:val="0"/>
              <w:autoSpaceDE w:val="0"/>
              <w:autoSpaceDN w:val="0"/>
              <w:adjustRightInd w:val="0"/>
              <w:spacing w:after="0" w:line="240" w:lineRule="auto"/>
              <w:jc w:val="right"/>
              <w:rPr>
                <w:rFonts w:ascii="Times New Roman" w:eastAsia="Times New Roman" w:hAnsi="Times New Roman" w:cs="Times New Roman"/>
                <w:b/>
                <w:bCs/>
                <w:vertAlign w:val="superscript"/>
              </w:rPr>
            </w:pPr>
            <w:r>
              <w:rPr>
                <w:rFonts w:ascii="Times New Roman" w:hAnsi="Times New Roman" w:cs="Times New Roman"/>
                <w:b/>
              </w:rPr>
              <w:t>4 November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p w14:paraId="666A4790" w14:textId="40069494" w:rsidR="00844310" w:rsidRPr="00A24728" w:rsidRDefault="00844310" w:rsidP="00A24728">
            <w:pPr>
              <w:widowControl w:val="0"/>
              <w:autoSpaceDE w:val="0"/>
              <w:autoSpaceDN w:val="0"/>
              <w:adjustRightInd w:val="0"/>
              <w:spacing w:after="0" w:line="240" w:lineRule="auto"/>
              <w:jc w:val="right"/>
              <w:rPr>
                <w:rFonts w:ascii="Times New Roman" w:eastAsia="Times New Roman" w:hAnsi="Times New Roman" w:cs="Times New Roman"/>
                <w:b/>
                <w:bCs/>
              </w:rPr>
            </w:pPr>
          </w:p>
        </w:tc>
      </w:tr>
      <w:tr w:rsidR="00A24728" w:rsidRPr="00A24728" w14:paraId="569BD400" w14:textId="77777777" w:rsidTr="00C23B0C">
        <w:trPr>
          <w:trHeight w:val="467"/>
        </w:trPr>
        <w:tc>
          <w:tcPr>
            <w:tcW w:w="5526" w:type="dxa"/>
            <w:tcBorders>
              <w:top w:val="nil"/>
              <w:left w:val="nil"/>
              <w:bottom w:val="nil"/>
              <w:right w:val="nil"/>
            </w:tcBorders>
          </w:tcPr>
          <w:p w14:paraId="6E911EA3" w14:textId="77777777" w:rsidR="00A24728" w:rsidRPr="00A24728" w:rsidRDefault="00A24728" w:rsidP="00A24728">
            <w:pPr>
              <w:widowControl w:val="0"/>
              <w:autoSpaceDE w:val="0"/>
              <w:autoSpaceDN w:val="0"/>
              <w:adjustRightInd w:val="0"/>
              <w:spacing w:after="0" w:line="240" w:lineRule="auto"/>
              <w:jc w:val="both"/>
              <w:rPr>
                <w:rFonts w:ascii="Times New Roman" w:eastAsia="Times New Roman" w:hAnsi="Times New Roman" w:cs="Times New Roman"/>
              </w:rPr>
            </w:pPr>
            <w:r w:rsidRPr="00A24728">
              <w:rPr>
                <w:rFonts w:ascii="Times New Roman" w:eastAsia="Times New Roman" w:hAnsi="Times New Roman" w:cs="Times New Roman"/>
              </w:rPr>
              <w:t xml:space="preserve">Cancellation of trading of DORE Shares on the London Stock Exchange </w:t>
            </w:r>
          </w:p>
        </w:tc>
        <w:tc>
          <w:tcPr>
            <w:tcW w:w="3514" w:type="dxa"/>
            <w:tcBorders>
              <w:top w:val="nil"/>
              <w:left w:val="nil"/>
              <w:bottom w:val="nil"/>
              <w:right w:val="nil"/>
            </w:tcBorders>
          </w:tcPr>
          <w:p w14:paraId="50513645" w14:textId="7FB91EC2"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r w:rsidRPr="00A24728">
              <w:rPr>
                <w:rFonts w:ascii="Times New Roman" w:eastAsia="Times New Roman" w:hAnsi="Times New Roman" w:cs="Times New Roman"/>
              </w:rPr>
              <w:t xml:space="preserve">By 8.00 a.m. on </w:t>
            </w:r>
            <w:r w:rsidR="00844310">
              <w:rPr>
                <w:rFonts w:ascii="Times New Roman" w:hAnsi="Times New Roman" w:cs="Times New Roman"/>
                <w:b/>
              </w:rPr>
              <w:t>5 November</w:t>
            </w:r>
            <w:r w:rsidR="00253C74" w:rsidRPr="00253C74">
              <w:rPr>
                <w:rFonts w:ascii="Times New Roman" w:hAnsi="Times New Roman" w:cs="Times New Roman"/>
                <w:b/>
              </w:rPr>
              <w:t xml:space="preserve"> </w:t>
            </w:r>
            <w:r w:rsidR="00253C74" w:rsidRPr="00253C74">
              <w:rPr>
                <w:rFonts w:ascii="Times New Roman" w:eastAsia="Times New Roman" w:hAnsi="Times New Roman" w:cs="Times New Roman"/>
                <w:b/>
                <w:bCs/>
              </w:rPr>
              <w:t>2025</w:t>
            </w:r>
          </w:p>
        </w:tc>
      </w:tr>
      <w:tr w:rsidR="00A24728" w:rsidRPr="00A24728" w14:paraId="0A5AD3EC" w14:textId="77777777" w:rsidTr="00C23B0C">
        <w:trPr>
          <w:trHeight w:val="947"/>
        </w:trPr>
        <w:tc>
          <w:tcPr>
            <w:tcW w:w="5526" w:type="dxa"/>
            <w:tcBorders>
              <w:top w:val="nil"/>
              <w:left w:val="nil"/>
              <w:right w:val="nil"/>
            </w:tcBorders>
          </w:tcPr>
          <w:p w14:paraId="3320E329" w14:textId="77777777"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Latest date for despatch of cheques and crediting of CREST accounts for cash consideration due under the Acquisition</w:t>
            </w:r>
          </w:p>
        </w:tc>
        <w:tc>
          <w:tcPr>
            <w:tcW w:w="3514" w:type="dxa"/>
            <w:tcBorders>
              <w:top w:val="nil"/>
              <w:left w:val="nil"/>
              <w:right w:val="nil"/>
            </w:tcBorders>
          </w:tcPr>
          <w:p w14:paraId="0FB76999" w14:textId="77777777"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r w:rsidRPr="00A24728">
              <w:rPr>
                <w:rFonts w:ascii="Times New Roman" w:eastAsia="Times New Roman" w:hAnsi="Times New Roman" w:cs="Times New Roman"/>
              </w:rPr>
              <w:t>Within 14 days of the Effective Date</w:t>
            </w:r>
          </w:p>
        </w:tc>
      </w:tr>
      <w:tr w:rsidR="00A24728" w:rsidRPr="00A24728" w14:paraId="4931C768" w14:textId="77777777" w:rsidTr="00C23B0C">
        <w:trPr>
          <w:trHeight w:val="511"/>
        </w:trPr>
        <w:tc>
          <w:tcPr>
            <w:tcW w:w="5526" w:type="dxa"/>
            <w:tcBorders>
              <w:top w:val="nil"/>
              <w:left w:val="nil"/>
              <w:bottom w:val="nil"/>
              <w:right w:val="nil"/>
            </w:tcBorders>
          </w:tcPr>
          <w:p w14:paraId="5980C732" w14:textId="13A99306" w:rsidR="00A24728" w:rsidRPr="00A24728" w:rsidRDefault="00A24728" w:rsidP="00A24728">
            <w:pPr>
              <w:widowControl w:val="0"/>
              <w:autoSpaceDE w:val="0"/>
              <w:autoSpaceDN w:val="0"/>
              <w:adjustRightInd w:val="0"/>
              <w:spacing w:after="0" w:line="240" w:lineRule="auto"/>
              <w:rPr>
                <w:rFonts w:ascii="Times New Roman" w:eastAsia="Times New Roman" w:hAnsi="Times New Roman" w:cs="Times New Roman"/>
              </w:rPr>
            </w:pPr>
            <w:r w:rsidRPr="00A24728">
              <w:rPr>
                <w:rFonts w:ascii="Times New Roman" w:eastAsia="Times New Roman" w:hAnsi="Times New Roman" w:cs="Times New Roman"/>
              </w:rPr>
              <w:t>Long Stop Date</w:t>
            </w:r>
            <w:r w:rsidR="00844310">
              <w:rPr>
                <w:rFonts w:ascii="Times New Roman" w:eastAsia="Times New Roman" w:hAnsi="Times New Roman" w:cs="Times New Roman"/>
                <w:vertAlign w:val="superscript"/>
              </w:rPr>
              <w:t>2</w:t>
            </w:r>
          </w:p>
        </w:tc>
        <w:tc>
          <w:tcPr>
            <w:tcW w:w="3514" w:type="dxa"/>
            <w:tcBorders>
              <w:top w:val="nil"/>
              <w:left w:val="nil"/>
              <w:bottom w:val="nil"/>
              <w:right w:val="nil"/>
            </w:tcBorders>
          </w:tcPr>
          <w:p w14:paraId="3C66A76D" w14:textId="77777777" w:rsidR="00A24728" w:rsidRPr="00A24728" w:rsidRDefault="00A24728" w:rsidP="00A24728">
            <w:pPr>
              <w:widowControl w:val="0"/>
              <w:autoSpaceDE w:val="0"/>
              <w:autoSpaceDN w:val="0"/>
              <w:adjustRightInd w:val="0"/>
              <w:spacing w:after="0" w:line="240" w:lineRule="auto"/>
              <w:jc w:val="right"/>
              <w:rPr>
                <w:rFonts w:ascii="Times New Roman" w:eastAsia="Times New Roman" w:hAnsi="Times New Roman" w:cs="Times New Roman"/>
              </w:rPr>
            </w:pPr>
            <w:r w:rsidRPr="00A24728">
              <w:rPr>
                <w:rFonts w:ascii="Times New Roman" w:eastAsia="Times New Roman" w:hAnsi="Times New Roman" w:cs="Times New Roman"/>
              </w:rPr>
              <w:t>30 November 2025</w:t>
            </w:r>
          </w:p>
        </w:tc>
      </w:tr>
    </w:tbl>
    <w:p w14:paraId="15BBAD36" w14:textId="77777777" w:rsidR="00A24728" w:rsidRPr="00A24728" w:rsidRDefault="00A24728" w:rsidP="00A24728">
      <w:pPr>
        <w:widowControl w:val="0"/>
        <w:autoSpaceDE w:val="0"/>
        <w:autoSpaceDN w:val="0"/>
        <w:adjustRightInd w:val="0"/>
        <w:spacing w:after="0" w:line="190" w:lineRule="exact"/>
        <w:rPr>
          <w:rFonts w:ascii="Times New Roman" w:eastAsia="Times New Roman" w:hAnsi="Times New Roman" w:cs="Times New Roman"/>
        </w:rPr>
      </w:pPr>
    </w:p>
    <w:p w14:paraId="5BF0AE95" w14:textId="77777777" w:rsidR="00A24728" w:rsidRPr="00A24728" w:rsidRDefault="00A24728" w:rsidP="00A24728">
      <w:pPr>
        <w:widowControl w:val="0"/>
        <w:autoSpaceDE w:val="0"/>
        <w:autoSpaceDN w:val="0"/>
        <w:adjustRightInd w:val="0"/>
        <w:spacing w:after="0" w:line="240" w:lineRule="auto"/>
        <w:ind w:left="3"/>
        <w:rPr>
          <w:rFonts w:ascii="Times New Roman" w:eastAsia="Times New Roman" w:hAnsi="Times New Roman" w:cs="Times New Roman"/>
          <w:sz w:val="24"/>
          <w:szCs w:val="24"/>
        </w:rPr>
      </w:pPr>
      <w:r w:rsidRPr="00A24728">
        <w:rPr>
          <w:rFonts w:ascii="Times New Roman" w:eastAsia="Times New Roman" w:hAnsi="Times New Roman" w:cs="Times New Roman"/>
          <w:i/>
          <w:iCs/>
          <w:sz w:val="16"/>
          <w:szCs w:val="16"/>
        </w:rPr>
        <w:t>Notes:</w:t>
      </w:r>
    </w:p>
    <w:p w14:paraId="3B666C49" w14:textId="77777777" w:rsidR="00A24728" w:rsidRPr="00A24728" w:rsidRDefault="00A24728" w:rsidP="00A24728">
      <w:pPr>
        <w:widowControl w:val="0"/>
        <w:autoSpaceDE w:val="0"/>
        <w:autoSpaceDN w:val="0"/>
        <w:adjustRightInd w:val="0"/>
        <w:spacing w:after="0" w:line="125" w:lineRule="exact"/>
        <w:rPr>
          <w:rFonts w:ascii="Times New Roman" w:eastAsia="Times New Roman" w:hAnsi="Times New Roman" w:cs="Times New Roman"/>
          <w:sz w:val="24"/>
          <w:szCs w:val="24"/>
        </w:rPr>
      </w:pPr>
    </w:p>
    <w:p w14:paraId="69BB749E" w14:textId="142DC79D" w:rsidR="009F7F41" w:rsidRDefault="00A24728" w:rsidP="009F7F41">
      <w:pPr>
        <w:widowControl w:val="0"/>
        <w:numPr>
          <w:ilvl w:val="0"/>
          <w:numId w:val="6"/>
        </w:numPr>
        <w:tabs>
          <w:tab w:val="num" w:pos="343"/>
        </w:tabs>
        <w:overflowPunct w:val="0"/>
        <w:autoSpaceDE w:val="0"/>
        <w:autoSpaceDN w:val="0"/>
        <w:adjustRightInd w:val="0"/>
        <w:spacing w:after="0" w:line="289" w:lineRule="auto"/>
        <w:ind w:left="343" w:hanging="343"/>
        <w:jc w:val="both"/>
        <w:rPr>
          <w:rFonts w:ascii="Times New Roman" w:eastAsia="Times New Roman" w:hAnsi="Times New Roman" w:cs="Times New Roman"/>
          <w:sz w:val="16"/>
          <w:szCs w:val="16"/>
        </w:rPr>
      </w:pPr>
      <w:r w:rsidRPr="00A24728">
        <w:rPr>
          <w:rFonts w:ascii="Times New Roman" w:eastAsia="Times New Roman" w:hAnsi="Times New Roman" w:cs="Times New Roman"/>
          <w:sz w:val="16"/>
          <w:szCs w:val="16"/>
        </w:rPr>
        <w:t xml:space="preserve">The dates and times given are indicative only and are based on current expectations and are subject to change. References to times are to London, United Kingdom time unless otherwise stated. If any of the times and/or dates above change, the revised times and/or dates will be notified to DORE Shareholders by announcement through a Regulatory Information Service. </w:t>
      </w:r>
    </w:p>
    <w:p w14:paraId="0215E47F" w14:textId="77777777" w:rsidR="00A24728" w:rsidRPr="00A24728" w:rsidRDefault="00A24728" w:rsidP="00844310">
      <w:pPr>
        <w:widowControl w:val="0"/>
        <w:overflowPunct w:val="0"/>
        <w:autoSpaceDE w:val="0"/>
        <w:autoSpaceDN w:val="0"/>
        <w:adjustRightInd w:val="0"/>
        <w:spacing w:after="0" w:line="263" w:lineRule="auto"/>
        <w:jc w:val="both"/>
        <w:rPr>
          <w:rFonts w:ascii="Times New Roman" w:eastAsia="Times New Roman" w:hAnsi="Times New Roman" w:cs="Times New Roman"/>
          <w:sz w:val="16"/>
          <w:szCs w:val="16"/>
        </w:rPr>
      </w:pPr>
    </w:p>
    <w:p w14:paraId="73ECE8EA" w14:textId="3EB41FD1" w:rsidR="00E25512" w:rsidRPr="009F7F41" w:rsidRDefault="00A24728" w:rsidP="00E25512">
      <w:pPr>
        <w:pStyle w:val="ListParagraph"/>
        <w:widowControl w:val="0"/>
        <w:numPr>
          <w:ilvl w:val="0"/>
          <w:numId w:val="16"/>
        </w:numPr>
        <w:overflowPunct w:val="0"/>
        <w:autoSpaceDE w:val="0"/>
        <w:autoSpaceDN w:val="0"/>
        <w:adjustRightInd w:val="0"/>
        <w:spacing w:after="0" w:line="289" w:lineRule="auto"/>
        <w:jc w:val="both"/>
        <w:rPr>
          <w:rFonts w:ascii="Times New Roman" w:eastAsia="Times New Roman" w:hAnsi="Times New Roman" w:cs="Times New Roman"/>
          <w:sz w:val="16"/>
          <w:szCs w:val="16"/>
        </w:rPr>
      </w:pPr>
      <w:r w:rsidRPr="009F7F41">
        <w:rPr>
          <w:rFonts w:ascii="Times New Roman" w:eastAsia="Times New Roman" w:hAnsi="Times New Roman" w:cs="Times New Roman"/>
          <w:sz w:val="16"/>
          <w:szCs w:val="16"/>
        </w:rPr>
        <w:lastRenderedPageBreak/>
        <w:t xml:space="preserve">This is the latest date by which the Scheme may become Effective. However, the Long Stop Date may be extended to such later date: (i) as may be agreed in writing by Bidco and DORE (with the Panel’s consent if required and (if required) as the Court may allow); or (ii) at the direction of the Panel under the Note on Section 3 of Appendix 7 to the Code. </w:t>
      </w:r>
    </w:p>
    <w:p w14:paraId="56D5675B" w14:textId="2C808CA5" w:rsidR="00A943AB" w:rsidRPr="00A24728" w:rsidRDefault="00A943AB" w:rsidP="00A943AB">
      <w:pPr>
        <w:pStyle w:val="AOA"/>
        <w:numPr>
          <w:ilvl w:val="0"/>
          <w:numId w:val="0"/>
        </w:numPr>
        <w:ind w:left="720" w:hanging="720"/>
        <w:jc w:val="left"/>
      </w:pPr>
      <w:r w:rsidRPr="00A24728">
        <w:rPr>
          <w:b/>
        </w:rPr>
        <w:t>Enquiries</w:t>
      </w:r>
      <w:r w:rsidRPr="00A24728">
        <w:t xml:space="preserve">: </w:t>
      </w:r>
      <w:r w:rsidRPr="00A24728">
        <w:br/>
      </w:r>
    </w:p>
    <w:tbl>
      <w:tblPr>
        <w:tblW w:w="8894" w:type="dxa"/>
        <w:tblInd w:w="108" w:type="dxa"/>
        <w:tblLook w:val="04A0" w:firstRow="1" w:lastRow="0" w:firstColumn="1" w:lastColumn="0" w:noHBand="0" w:noVBand="1"/>
      </w:tblPr>
      <w:tblGrid>
        <w:gridCol w:w="4945"/>
        <w:gridCol w:w="3949"/>
      </w:tblGrid>
      <w:tr w:rsidR="00A943AB" w:rsidRPr="00A24728" w14:paraId="0267478E" w14:textId="77777777" w:rsidTr="00A943AB">
        <w:trPr>
          <w:trHeight w:val="1750"/>
        </w:trPr>
        <w:tc>
          <w:tcPr>
            <w:tcW w:w="4945" w:type="dxa"/>
          </w:tcPr>
          <w:p w14:paraId="53EAF8E8" w14:textId="77777777" w:rsidR="00A943AB" w:rsidRPr="00A24728" w:rsidRDefault="00A943AB" w:rsidP="00B21AA4">
            <w:pPr>
              <w:pStyle w:val="AODocTxt"/>
              <w:spacing w:before="0"/>
            </w:pPr>
            <w:r w:rsidRPr="00A24728">
              <w:rPr>
                <w:b/>
              </w:rPr>
              <w:t>Dickson Minto Advisers (Financial Adviser to Bidco and Bagnall)</w:t>
            </w:r>
          </w:p>
          <w:p w14:paraId="785BB6DE" w14:textId="77777777" w:rsidR="00A943AB" w:rsidRPr="00A24728" w:rsidRDefault="00A943AB" w:rsidP="00B21AA4">
            <w:pPr>
              <w:pStyle w:val="AODocTxt"/>
              <w:spacing w:before="0"/>
            </w:pPr>
            <w:r w:rsidRPr="00A24728">
              <w:t>Douglas Armstrong</w:t>
            </w:r>
          </w:p>
          <w:p w14:paraId="718353A3" w14:textId="77777777" w:rsidR="00A943AB" w:rsidRPr="00A24728" w:rsidRDefault="00A943AB" w:rsidP="00B21AA4">
            <w:pPr>
              <w:pStyle w:val="AODocTxt"/>
              <w:spacing w:before="0"/>
            </w:pPr>
            <w:r w:rsidRPr="00A24728">
              <w:t>Andrew Manson</w:t>
            </w:r>
          </w:p>
        </w:tc>
        <w:tc>
          <w:tcPr>
            <w:tcW w:w="3949" w:type="dxa"/>
          </w:tcPr>
          <w:p w14:paraId="562C911F" w14:textId="77777777" w:rsidR="00A943AB" w:rsidRPr="00A24728" w:rsidRDefault="00A943AB" w:rsidP="00B21AA4">
            <w:pPr>
              <w:pStyle w:val="NoSpacing"/>
              <w:jc w:val="right"/>
            </w:pPr>
          </w:p>
          <w:p w14:paraId="06C82450" w14:textId="77777777" w:rsidR="00A943AB" w:rsidRPr="00A24728" w:rsidRDefault="00A943AB" w:rsidP="00B21AA4">
            <w:pPr>
              <w:pStyle w:val="NoSpacing"/>
              <w:jc w:val="right"/>
            </w:pPr>
          </w:p>
          <w:p w14:paraId="4725C091" w14:textId="77777777" w:rsidR="00A943AB" w:rsidRPr="00A24728" w:rsidRDefault="00A943AB" w:rsidP="00B21AA4">
            <w:pPr>
              <w:pStyle w:val="NoSpacing"/>
              <w:jc w:val="right"/>
            </w:pPr>
            <w:r w:rsidRPr="00A24728">
              <w:t xml:space="preserve">Tel: +44 (0) 20 7649 6823 </w:t>
            </w:r>
          </w:p>
          <w:p w14:paraId="0E595AAA" w14:textId="77777777" w:rsidR="00A943AB" w:rsidRPr="00A24728" w:rsidRDefault="00A943AB" w:rsidP="00B21AA4">
            <w:pPr>
              <w:pStyle w:val="NoSpacing"/>
              <w:jc w:val="right"/>
            </w:pPr>
            <w:r w:rsidRPr="00A24728">
              <w:t>Tel: +44 (0) 131 200 1605</w:t>
            </w:r>
          </w:p>
          <w:p w14:paraId="14F7D306" w14:textId="77777777" w:rsidR="00A943AB" w:rsidRPr="00A24728" w:rsidRDefault="00A943AB" w:rsidP="00B21AA4">
            <w:pPr>
              <w:pStyle w:val="AONormal"/>
            </w:pPr>
          </w:p>
        </w:tc>
      </w:tr>
      <w:tr w:rsidR="00A943AB" w:rsidRPr="00A24728" w14:paraId="530771BC" w14:textId="77777777" w:rsidTr="00A943AB">
        <w:trPr>
          <w:trHeight w:val="1770"/>
        </w:trPr>
        <w:tc>
          <w:tcPr>
            <w:tcW w:w="4945" w:type="dxa"/>
          </w:tcPr>
          <w:p w14:paraId="4F30B2CE" w14:textId="77777777" w:rsidR="00A943AB" w:rsidRPr="00A24728" w:rsidRDefault="00A943AB" w:rsidP="00B21AA4">
            <w:pPr>
              <w:pStyle w:val="AODocTxt"/>
              <w:spacing w:before="0"/>
              <w:rPr>
                <w:b/>
              </w:rPr>
            </w:pPr>
            <w:r w:rsidRPr="00A24728">
              <w:rPr>
                <w:b/>
              </w:rPr>
              <w:t xml:space="preserve">Bagnall </w:t>
            </w:r>
          </w:p>
          <w:p w14:paraId="1A4866BA" w14:textId="77777777" w:rsidR="00A943AB" w:rsidRPr="00A24728" w:rsidRDefault="00A943AB" w:rsidP="00B21AA4">
            <w:pPr>
              <w:pStyle w:val="AODocTxt"/>
              <w:spacing w:before="0"/>
              <w:rPr>
                <w:bCs/>
              </w:rPr>
            </w:pPr>
            <w:r w:rsidRPr="00A24728">
              <w:rPr>
                <w:bCs/>
              </w:rPr>
              <w:t>James Watson (Chair)</w:t>
            </w:r>
          </w:p>
          <w:p w14:paraId="6699A889" w14:textId="77777777" w:rsidR="00A943AB" w:rsidRPr="00A24728" w:rsidRDefault="00A943AB" w:rsidP="00B21AA4">
            <w:pPr>
              <w:pStyle w:val="AODocTxt"/>
              <w:spacing w:before="0"/>
              <w:rPr>
                <w:bCs/>
              </w:rPr>
            </w:pPr>
            <w:r w:rsidRPr="00A24728">
              <w:rPr>
                <w:bCs/>
              </w:rPr>
              <w:t>Tony McGing</w:t>
            </w:r>
          </w:p>
          <w:p w14:paraId="2FE38E1A" w14:textId="77777777" w:rsidR="00A943AB" w:rsidRPr="00A24728" w:rsidRDefault="00A943AB" w:rsidP="00B21AA4">
            <w:pPr>
              <w:pStyle w:val="AODocTxt"/>
              <w:spacing w:before="0"/>
              <w:rPr>
                <w:bCs/>
              </w:rPr>
            </w:pPr>
            <w:r w:rsidRPr="00A24728">
              <w:rPr>
                <w:bCs/>
              </w:rPr>
              <w:t>Judith MacKenzie</w:t>
            </w:r>
          </w:p>
          <w:p w14:paraId="47CF385D" w14:textId="77777777" w:rsidR="00A943AB" w:rsidRPr="00A24728" w:rsidRDefault="00A943AB" w:rsidP="00B21AA4">
            <w:pPr>
              <w:pStyle w:val="AODocTxt"/>
              <w:spacing w:before="0"/>
              <w:rPr>
                <w:b/>
              </w:rPr>
            </w:pPr>
          </w:p>
        </w:tc>
        <w:tc>
          <w:tcPr>
            <w:tcW w:w="3949" w:type="dxa"/>
          </w:tcPr>
          <w:p w14:paraId="73B2151C" w14:textId="77777777" w:rsidR="00A943AB" w:rsidRPr="00A24728" w:rsidRDefault="00A943AB" w:rsidP="00B21AA4">
            <w:pPr>
              <w:pStyle w:val="NoSpacing"/>
              <w:jc w:val="right"/>
            </w:pPr>
            <w:r w:rsidRPr="00A24728">
              <w:t>Tel: +44 (0) 20 7416 7780</w:t>
            </w:r>
          </w:p>
          <w:p w14:paraId="11E0BE66" w14:textId="77777777" w:rsidR="00A943AB" w:rsidRPr="00A24728" w:rsidRDefault="00A943AB" w:rsidP="00B21AA4">
            <w:pPr>
              <w:pStyle w:val="NoSpacing"/>
              <w:jc w:val="right"/>
            </w:pPr>
          </w:p>
          <w:p w14:paraId="75F4FFD4" w14:textId="77777777" w:rsidR="00A943AB" w:rsidRPr="00A24728" w:rsidRDefault="00A943AB" w:rsidP="00B21AA4">
            <w:pPr>
              <w:spacing w:before="20"/>
              <w:jc w:val="right"/>
              <w:rPr>
                <w:rFonts w:ascii="Times New Roman" w:hAnsi="Times New Roman" w:cs="Times New Roman"/>
              </w:rPr>
            </w:pPr>
          </w:p>
        </w:tc>
      </w:tr>
      <w:tr w:rsidR="00A943AB" w:rsidRPr="00A24728" w14:paraId="444EA23A" w14:textId="77777777" w:rsidTr="004C3FFA">
        <w:trPr>
          <w:trHeight w:val="179"/>
        </w:trPr>
        <w:tc>
          <w:tcPr>
            <w:tcW w:w="4945" w:type="dxa"/>
          </w:tcPr>
          <w:p w14:paraId="5FA30DBD" w14:textId="77777777" w:rsidR="00A943AB" w:rsidRPr="00A24728" w:rsidRDefault="00A943AB" w:rsidP="00B21AA4">
            <w:pPr>
              <w:pStyle w:val="AODocTxt"/>
              <w:spacing w:before="0"/>
              <w:rPr>
                <w:b/>
              </w:rPr>
            </w:pPr>
            <w:bookmarkStart w:id="0" w:name="_Hlk198183410"/>
            <w:r w:rsidRPr="00A24728">
              <w:rPr>
                <w:b/>
              </w:rPr>
              <w:t>Camarco (PR Adviser to Bagnall)</w:t>
            </w:r>
          </w:p>
        </w:tc>
        <w:tc>
          <w:tcPr>
            <w:tcW w:w="3949" w:type="dxa"/>
          </w:tcPr>
          <w:p w14:paraId="0D5300B4" w14:textId="77777777" w:rsidR="00A943AB" w:rsidRPr="00A24728" w:rsidRDefault="00A943AB" w:rsidP="00B21AA4">
            <w:pPr>
              <w:pStyle w:val="NoSpacing"/>
              <w:jc w:val="right"/>
            </w:pPr>
            <w:r w:rsidRPr="00A24728">
              <w:t xml:space="preserve">E: </w:t>
            </w:r>
            <w:r w:rsidRPr="00A24728">
              <w:rPr>
                <w:lang w:val="de-DE"/>
              </w:rPr>
              <w:t>projectsnow@camarco.co.uk</w:t>
            </w:r>
          </w:p>
        </w:tc>
      </w:tr>
      <w:tr w:rsidR="00A943AB" w:rsidRPr="00A24728" w14:paraId="31698F25" w14:textId="77777777" w:rsidTr="004C3FFA">
        <w:trPr>
          <w:trHeight w:val="51"/>
        </w:trPr>
        <w:tc>
          <w:tcPr>
            <w:tcW w:w="4945" w:type="dxa"/>
          </w:tcPr>
          <w:p w14:paraId="17B264B0" w14:textId="77777777" w:rsidR="00A943AB" w:rsidRPr="00A24728" w:rsidRDefault="00A943AB" w:rsidP="00B21AA4">
            <w:pPr>
              <w:pStyle w:val="AODocTxt"/>
              <w:spacing w:before="0"/>
              <w:rPr>
                <w:bCs/>
              </w:rPr>
            </w:pPr>
            <w:r w:rsidRPr="00A24728">
              <w:rPr>
                <w:bCs/>
              </w:rPr>
              <w:t>Jennifer Renwick</w:t>
            </w:r>
          </w:p>
        </w:tc>
        <w:tc>
          <w:tcPr>
            <w:tcW w:w="3949" w:type="dxa"/>
          </w:tcPr>
          <w:p w14:paraId="31CD70B5" w14:textId="77777777" w:rsidR="00A943AB" w:rsidRPr="00A24728" w:rsidRDefault="00A943AB" w:rsidP="00B21AA4">
            <w:pPr>
              <w:pStyle w:val="NoSpacing"/>
              <w:jc w:val="right"/>
            </w:pPr>
            <w:r w:rsidRPr="00A24728">
              <w:t>Tel: +44 7928 471 013</w:t>
            </w:r>
          </w:p>
        </w:tc>
      </w:tr>
      <w:tr w:rsidR="00A943AB" w:rsidRPr="00A24728" w14:paraId="35C9B3FE" w14:textId="77777777" w:rsidTr="00A943AB">
        <w:trPr>
          <w:trHeight w:val="370"/>
        </w:trPr>
        <w:tc>
          <w:tcPr>
            <w:tcW w:w="4945" w:type="dxa"/>
          </w:tcPr>
          <w:p w14:paraId="39A54B8B" w14:textId="77777777" w:rsidR="00A943AB" w:rsidRPr="00A24728" w:rsidRDefault="00A943AB" w:rsidP="00B21AA4">
            <w:pPr>
              <w:pStyle w:val="AODocTxt"/>
              <w:spacing w:before="0"/>
              <w:rPr>
                <w:bCs/>
              </w:rPr>
            </w:pPr>
            <w:r w:rsidRPr="00A24728">
              <w:rPr>
                <w:bCs/>
              </w:rPr>
              <w:t>Rebecca Waterworth</w:t>
            </w:r>
          </w:p>
        </w:tc>
        <w:tc>
          <w:tcPr>
            <w:tcW w:w="3949" w:type="dxa"/>
          </w:tcPr>
          <w:p w14:paraId="154FE9D1" w14:textId="77777777" w:rsidR="00A943AB" w:rsidRPr="00A24728" w:rsidRDefault="00A943AB" w:rsidP="00B21AA4">
            <w:pPr>
              <w:pStyle w:val="NoSpacing"/>
              <w:jc w:val="right"/>
            </w:pPr>
            <w:r w:rsidRPr="00A24728">
              <w:t>Tel: +44 7780 503 708</w:t>
            </w:r>
          </w:p>
        </w:tc>
      </w:tr>
      <w:bookmarkEnd w:id="0"/>
      <w:tr w:rsidR="00A943AB" w:rsidRPr="00A24728" w14:paraId="5D4B2191" w14:textId="77777777" w:rsidTr="00A943AB">
        <w:trPr>
          <w:trHeight w:val="350"/>
        </w:trPr>
        <w:tc>
          <w:tcPr>
            <w:tcW w:w="4945" w:type="dxa"/>
          </w:tcPr>
          <w:p w14:paraId="160AF28A" w14:textId="77777777" w:rsidR="00A943AB" w:rsidRPr="00A24728" w:rsidRDefault="00A943AB" w:rsidP="00B21AA4">
            <w:pPr>
              <w:pStyle w:val="AODocTxt"/>
              <w:spacing w:before="0"/>
              <w:rPr>
                <w:b/>
              </w:rPr>
            </w:pPr>
          </w:p>
        </w:tc>
        <w:tc>
          <w:tcPr>
            <w:tcW w:w="3949" w:type="dxa"/>
          </w:tcPr>
          <w:p w14:paraId="3D0754C0" w14:textId="77777777" w:rsidR="00A943AB" w:rsidRPr="00A24728" w:rsidRDefault="00A943AB" w:rsidP="00B21AA4">
            <w:pPr>
              <w:pStyle w:val="NoSpacing"/>
              <w:jc w:val="right"/>
            </w:pPr>
          </w:p>
        </w:tc>
      </w:tr>
      <w:tr w:rsidR="00A943AB" w:rsidRPr="00A24728" w14:paraId="4EEA9D45" w14:textId="77777777" w:rsidTr="00A943AB">
        <w:trPr>
          <w:trHeight w:val="1070"/>
        </w:trPr>
        <w:tc>
          <w:tcPr>
            <w:tcW w:w="4945" w:type="dxa"/>
          </w:tcPr>
          <w:p w14:paraId="26538D05" w14:textId="77777777" w:rsidR="00A943AB" w:rsidRPr="00A24728" w:rsidRDefault="00A943AB" w:rsidP="00B21AA4">
            <w:pPr>
              <w:pStyle w:val="AODocTxt"/>
              <w:spacing w:before="0"/>
              <w:rPr>
                <w:b/>
              </w:rPr>
            </w:pPr>
            <w:r w:rsidRPr="00A24728">
              <w:rPr>
                <w:b/>
              </w:rPr>
              <w:t>DORE</w:t>
            </w:r>
          </w:p>
          <w:p w14:paraId="6E55CE62" w14:textId="77777777" w:rsidR="00A943AB" w:rsidRPr="00A24728" w:rsidRDefault="00A943AB" w:rsidP="00B21AA4">
            <w:pPr>
              <w:pStyle w:val="AODocTxt"/>
              <w:spacing w:before="0"/>
              <w:rPr>
                <w:b/>
              </w:rPr>
            </w:pPr>
            <w:r w:rsidRPr="00A24728">
              <w:rPr>
                <w:bCs/>
              </w:rPr>
              <w:t xml:space="preserve">Hugh Little </w:t>
            </w:r>
            <w:r w:rsidRPr="00A24728">
              <w:t>(Chair)</w:t>
            </w:r>
          </w:p>
          <w:p w14:paraId="6CDB7012" w14:textId="77777777" w:rsidR="00A943AB" w:rsidRPr="00A24728" w:rsidRDefault="00A943AB" w:rsidP="00B21AA4">
            <w:pPr>
              <w:pStyle w:val="AODocTxt"/>
              <w:spacing w:before="0"/>
            </w:pPr>
          </w:p>
        </w:tc>
        <w:tc>
          <w:tcPr>
            <w:tcW w:w="3949" w:type="dxa"/>
          </w:tcPr>
          <w:p w14:paraId="39676717" w14:textId="77777777" w:rsidR="00A943AB" w:rsidRPr="00A24728" w:rsidRDefault="00A943AB" w:rsidP="00B21AA4">
            <w:pPr>
              <w:pStyle w:val="AONormal"/>
              <w:jc w:val="right"/>
            </w:pPr>
            <w:r w:rsidRPr="00A24728">
              <w:rPr>
                <w:bCs/>
              </w:rPr>
              <w:t>via Singer Capital Markets</w:t>
            </w:r>
          </w:p>
        </w:tc>
      </w:tr>
      <w:tr w:rsidR="00A943AB" w:rsidRPr="00A24728" w14:paraId="6989EB1D" w14:textId="77777777" w:rsidTr="00582ED3">
        <w:trPr>
          <w:trHeight w:val="1447"/>
        </w:trPr>
        <w:tc>
          <w:tcPr>
            <w:tcW w:w="4945" w:type="dxa"/>
          </w:tcPr>
          <w:p w14:paraId="19A03796" w14:textId="77777777" w:rsidR="00A943AB" w:rsidRPr="00A24728" w:rsidRDefault="00A943AB" w:rsidP="00B21AA4">
            <w:pPr>
              <w:pStyle w:val="AODocTxt"/>
              <w:spacing w:before="0"/>
              <w:rPr>
                <w:b/>
              </w:rPr>
            </w:pPr>
            <w:r w:rsidRPr="00A24728">
              <w:rPr>
                <w:b/>
              </w:rPr>
              <w:t xml:space="preserve">Singer Capital Markets (Financial Adviser, Rule 3 Adviser and Corporate Broker to DORE) </w:t>
            </w:r>
          </w:p>
          <w:p w14:paraId="32812EF7" w14:textId="77777777" w:rsidR="00A943AB" w:rsidRPr="00A24728" w:rsidRDefault="00A943AB" w:rsidP="00B21AA4">
            <w:pPr>
              <w:pStyle w:val="AODocTxt"/>
              <w:spacing w:before="0"/>
              <w:rPr>
                <w:bCs/>
              </w:rPr>
            </w:pPr>
            <w:r w:rsidRPr="00A24728">
              <w:rPr>
                <w:bCs/>
              </w:rPr>
              <w:t>Alaina Wong</w:t>
            </w:r>
          </w:p>
          <w:p w14:paraId="20F3796C" w14:textId="77777777" w:rsidR="00A943AB" w:rsidRPr="00A24728" w:rsidRDefault="00A943AB" w:rsidP="00B21AA4">
            <w:pPr>
              <w:pStyle w:val="AODocTxt"/>
              <w:spacing w:before="0"/>
              <w:rPr>
                <w:bCs/>
              </w:rPr>
            </w:pPr>
            <w:r w:rsidRPr="00A24728">
              <w:rPr>
                <w:bCs/>
              </w:rPr>
              <w:t>Sam Butcher</w:t>
            </w:r>
          </w:p>
          <w:p w14:paraId="26F5D8AB" w14:textId="77777777" w:rsidR="00A943AB" w:rsidRPr="00A24728" w:rsidRDefault="00A943AB" w:rsidP="00FB0C32">
            <w:pPr>
              <w:pStyle w:val="AODocTxt"/>
              <w:spacing w:before="0"/>
              <w:rPr>
                <w:b/>
              </w:rPr>
            </w:pPr>
          </w:p>
        </w:tc>
        <w:tc>
          <w:tcPr>
            <w:tcW w:w="3949" w:type="dxa"/>
          </w:tcPr>
          <w:p w14:paraId="4085D6B0" w14:textId="77777777" w:rsidR="00A943AB" w:rsidRPr="00A24728" w:rsidRDefault="00A943AB" w:rsidP="00B21AA4">
            <w:pPr>
              <w:pStyle w:val="AONormal"/>
              <w:jc w:val="right"/>
            </w:pPr>
            <w:r w:rsidRPr="00A24728">
              <w:t xml:space="preserve">Tel: +44 (0) </w:t>
            </w:r>
            <w:r w:rsidRPr="00A24728">
              <w:rPr>
                <w:bCs/>
              </w:rPr>
              <w:t>20 7496 3000</w:t>
            </w:r>
          </w:p>
        </w:tc>
      </w:tr>
      <w:tr w:rsidR="00A943AB" w:rsidRPr="00A24728" w14:paraId="660D2CF4" w14:textId="77777777" w:rsidTr="00787FA1">
        <w:trPr>
          <w:trHeight w:val="1806"/>
        </w:trPr>
        <w:tc>
          <w:tcPr>
            <w:tcW w:w="4945" w:type="dxa"/>
          </w:tcPr>
          <w:p w14:paraId="6B0D94D2" w14:textId="77777777" w:rsidR="00A943AB" w:rsidRPr="00A24728" w:rsidRDefault="00A943AB" w:rsidP="00B21AA4">
            <w:pPr>
              <w:pStyle w:val="AODocTxt"/>
              <w:spacing w:before="0"/>
              <w:rPr>
                <w:b/>
              </w:rPr>
            </w:pPr>
            <w:r w:rsidRPr="00A24728">
              <w:rPr>
                <w:b/>
              </w:rPr>
              <w:t>Cardew Group (PR Adviser to DORE)</w:t>
            </w:r>
          </w:p>
          <w:p w14:paraId="03131B9A" w14:textId="77777777" w:rsidR="00A943AB" w:rsidRPr="00A24728" w:rsidRDefault="00A943AB" w:rsidP="00B21AA4">
            <w:pPr>
              <w:pStyle w:val="AODocTxt"/>
              <w:spacing w:before="0"/>
              <w:rPr>
                <w:bCs/>
              </w:rPr>
            </w:pPr>
            <w:r w:rsidRPr="00A24728">
              <w:rPr>
                <w:bCs/>
              </w:rPr>
              <w:t>Ed Orlebar</w:t>
            </w:r>
          </w:p>
          <w:p w14:paraId="0F169839" w14:textId="77777777" w:rsidR="00A943AB" w:rsidRPr="00A24728" w:rsidRDefault="00A943AB" w:rsidP="00B21AA4">
            <w:pPr>
              <w:pStyle w:val="AODocTxt"/>
              <w:spacing w:before="0"/>
              <w:rPr>
                <w:bCs/>
              </w:rPr>
            </w:pPr>
            <w:r w:rsidRPr="00A24728">
              <w:rPr>
                <w:bCs/>
              </w:rPr>
              <w:t>Tania Wild</w:t>
            </w:r>
          </w:p>
          <w:p w14:paraId="70DA7BCD" w14:textId="77777777" w:rsidR="00A943AB" w:rsidRPr="00A24728" w:rsidRDefault="00A943AB" w:rsidP="00B21AA4">
            <w:pPr>
              <w:pStyle w:val="AODocTxt"/>
              <w:spacing w:before="0"/>
              <w:rPr>
                <w:bCs/>
              </w:rPr>
            </w:pPr>
            <w:r w:rsidRPr="00A24728">
              <w:rPr>
                <w:bCs/>
              </w:rPr>
              <w:t>Henry Crane</w:t>
            </w:r>
          </w:p>
          <w:p w14:paraId="08CC680E" w14:textId="77777777" w:rsidR="00A943AB" w:rsidRPr="00A24728" w:rsidRDefault="00A943AB" w:rsidP="00B21AA4">
            <w:pPr>
              <w:pStyle w:val="AODocTxt"/>
              <w:spacing w:before="0"/>
              <w:rPr>
                <w:b/>
              </w:rPr>
            </w:pPr>
          </w:p>
        </w:tc>
        <w:tc>
          <w:tcPr>
            <w:tcW w:w="3949" w:type="dxa"/>
          </w:tcPr>
          <w:p w14:paraId="24C088E0" w14:textId="77777777" w:rsidR="00A943AB" w:rsidRPr="00A24728" w:rsidRDefault="00A943AB" w:rsidP="00B21AA4">
            <w:pPr>
              <w:spacing w:before="20"/>
              <w:jc w:val="right"/>
              <w:rPr>
                <w:rFonts w:ascii="Times New Roman" w:hAnsi="Times New Roman" w:cs="Times New Roman"/>
                <w:bCs/>
              </w:rPr>
            </w:pPr>
            <w:r w:rsidRPr="00A24728">
              <w:rPr>
                <w:rFonts w:ascii="Times New Roman" w:hAnsi="Times New Roman" w:cs="Times New Roman"/>
              </w:rPr>
              <w:t xml:space="preserve">E: </w:t>
            </w:r>
            <w:r w:rsidRPr="00A24728">
              <w:rPr>
                <w:rFonts w:ascii="Times New Roman" w:hAnsi="Times New Roman" w:cs="Times New Roman"/>
                <w:bCs/>
              </w:rPr>
              <w:t>DORE@cardewgroup.com</w:t>
            </w:r>
          </w:p>
          <w:p w14:paraId="094FBE2A" w14:textId="77777777" w:rsidR="00A943AB" w:rsidRPr="00A24728" w:rsidRDefault="00A943AB" w:rsidP="00B21AA4">
            <w:pPr>
              <w:spacing w:before="20"/>
              <w:jc w:val="right"/>
              <w:rPr>
                <w:rFonts w:ascii="Times New Roman" w:hAnsi="Times New Roman" w:cs="Times New Roman"/>
                <w:bCs/>
              </w:rPr>
            </w:pPr>
            <w:r w:rsidRPr="00A24728">
              <w:rPr>
                <w:rFonts w:ascii="Times New Roman" w:hAnsi="Times New Roman" w:cs="Times New Roman"/>
              </w:rPr>
              <w:t xml:space="preserve">Tel: +44 (0) </w:t>
            </w:r>
            <w:r w:rsidRPr="00A24728">
              <w:rPr>
                <w:rFonts w:ascii="Times New Roman" w:hAnsi="Times New Roman" w:cs="Times New Roman"/>
                <w:bCs/>
              </w:rPr>
              <w:t>20 7930 0777</w:t>
            </w:r>
          </w:p>
          <w:p w14:paraId="533EFAFE" w14:textId="77777777" w:rsidR="00A943AB" w:rsidRPr="00A24728" w:rsidRDefault="00A943AB" w:rsidP="00B21AA4">
            <w:pPr>
              <w:pStyle w:val="AONormal"/>
              <w:jc w:val="right"/>
              <w:rPr>
                <w:lang w:val="en-US"/>
              </w:rPr>
            </w:pPr>
            <w:r w:rsidRPr="00A24728">
              <w:rPr>
                <w:lang w:val="en-US"/>
              </w:rPr>
              <w:t>+44 (0)7738 724630</w:t>
            </w:r>
          </w:p>
          <w:p w14:paraId="322FC2C8" w14:textId="77777777" w:rsidR="00A943AB" w:rsidRPr="00A24728" w:rsidRDefault="00A943AB" w:rsidP="00B21AA4">
            <w:pPr>
              <w:jc w:val="right"/>
              <w:rPr>
                <w:rFonts w:ascii="Times New Roman" w:hAnsi="Times New Roman" w:cs="Times New Roman"/>
              </w:rPr>
            </w:pPr>
            <w:r w:rsidRPr="00A24728">
              <w:rPr>
                <w:rFonts w:ascii="Times New Roman" w:hAnsi="Times New Roman" w:cs="Times New Roman"/>
              </w:rPr>
              <w:t>+44 (0)7425 536903</w:t>
            </w:r>
          </w:p>
          <w:p w14:paraId="6D504AB2" w14:textId="77777777" w:rsidR="00A943AB" w:rsidRPr="00A24728" w:rsidRDefault="00A943AB" w:rsidP="00B21AA4">
            <w:pPr>
              <w:jc w:val="right"/>
              <w:rPr>
                <w:rFonts w:ascii="Times New Roman" w:hAnsi="Times New Roman" w:cs="Times New Roman"/>
              </w:rPr>
            </w:pPr>
            <w:r w:rsidRPr="00A24728">
              <w:rPr>
                <w:rFonts w:ascii="Times New Roman" w:hAnsi="Times New Roman" w:cs="Times New Roman"/>
                <w:lang w:val="en-US"/>
              </w:rPr>
              <w:t>+44 (0)7918 207157</w:t>
            </w:r>
          </w:p>
          <w:p w14:paraId="3C4E78EA" w14:textId="77777777" w:rsidR="00A943AB" w:rsidRPr="00A24728" w:rsidRDefault="00A943AB" w:rsidP="00B21AA4">
            <w:pPr>
              <w:spacing w:before="20"/>
              <w:jc w:val="right"/>
              <w:rPr>
                <w:rFonts w:ascii="Times New Roman" w:hAnsi="Times New Roman" w:cs="Times New Roman"/>
              </w:rPr>
            </w:pPr>
          </w:p>
          <w:p w14:paraId="2981725D" w14:textId="77777777" w:rsidR="00A943AB" w:rsidRPr="00A24728" w:rsidRDefault="00A943AB" w:rsidP="00B21AA4">
            <w:pPr>
              <w:pStyle w:val="AONormal"/>
              <w:jc w:val="right"/>
            </w:pPr>
          </w:p>
        </w:tc>
      </w:tr>
    </w:tbl>
    <w:p w14:paraId="73B63C6A" w14:textId="77777777" w:rsidR="006C17BB" w:rsidRPr="00A24728" w:rsidRDefault="006C17BB" w:rsidP="00787FA1">
      <w:pPr>
        <w:widowControl w:val="0"/>
        <w:overflowPunct w:val="0"/>
        <w:autoSpaceDE w:val="0"/>
        <w:autoSpaceDN w:val="0"/>
        <w:adjustRightInd w:val="0"/>
        <w:spacing w:after="0" w:line="261" w:lineRule="auto"/>
        <w:jc w:val="both"/>
        <w:rPr>
          <w:rFonts w:ascii="Times New Roman" w:hAnsi="Times New Roman" w:cs="Times New Roman"/>
          <w:b/>
          <w:bCs/>
          <w:i/>
          <w:iCs/>
        </w:rPr>
      </w:pPr>
    </w:p>
    <w:p w14:paraId="170AAC09" w14:textId="77777777" w:rsidR="006C17BB" w:rsidRPr="00CD35E5" w:rsidRDefault="006C17BB" w:rsidP="006C17BB">
      <w:pPr>
        <w:widowControl w:val="0"/>
        <w:overflowPunct w:val="0"/>
        <w:autoSpaceDE w:val="0"/>
        <w:autoSpaceDN w:val="0"/>
        <w:adjustRightInd w:val="0"/>
        <w:spacing w:after="0" w:line="261" w:lineRule="auto"/>
        <w:jc w:val="both"/>
        <w:rPr>
          <w:rFonts w:ascii="Times New Roman" w:hAnsi="Times New Roman" w:cs="Times New Roman"/>
        </w:rPr>
      </w:pPr>
      <w:r w:rsidRPr="00CD35E5">
        <w:rPr>
          <w:rFonts w:ascii="Times New Roman" w:hAnsi="Times New Roman" w:cs="Times New Roman"/>
        </w:rPr>
        <w:t>Dickson Minto LLP is acting as legal adviser to Bidco and Bagnall.</w:t>
      </w:r>
    </w:p>
    <w:p w14:paraId="0F7698DC" w14:textId="77777777" w:rsidR="006C17BB" w:rsidRPr="00CD35E5" w:rsidRDefault="006C17BB" w:rsidP="006C17BB">
      <w:pPr>
        <w:widowControl w:val="0"/>
        <w:overflowPunct w:val="0"/>
        <w:autoSpaceDE w:val="0"/>
        <w:autoSpaceDN w:val="0"/>
        <w:adjustRightInd w:val="0"/>
        <w:spacing w:after="0" w:line="261" w:lineRule="auto"/>
        <w:jc w:val="both"/>
        <w:rPr>
          <w:rFonts w:ascii="Times New Roman" w:hAnsi="Times New Roman" w:cs="Times New Roman"/>
        </w:rPr>
      </w:pPr>
    </w:p>
    <w:p w14:paraId="53D2DD41" w14:textId="77777777" w:rsidR="006C17BB" w:rsidRDefault="006C17BB" w:rsidP="006C17BB">
      <w:pPr>
        <w:widowControl w:val="0"/>
        <w:overflowPunct w:val="0"/>
        <w:autoSpaceDE w:val="0"/>
        <w:autoSpaceDN w:val="0"/>
        <w:adjustRightInd w:val="0"/>
        <w:spacing w:after="0" w:line="261" w:lineRule="auto"/>
        <w:jc w:val="both"/>
        <w:rPr>
          <w:rFonts w:ascii="Times New Roman" w:hAnsi="Times New Roman" w:cs="Times New Roman"/>
        </w:rPr>
      </w:pPr>
      <w:r w:rsidRPr="00CD35E5">
        <w:rPr>
          <w:rFonts w:ascii="Times New Roman" w:hAnsi="Times New Roman" w:cs="Times New Roman"/>
        </w:rPr>
        <w:t xml:space="preserve">Gowling WLG (UK) LLP is acting as legal adviser to DORE. </w:t>
      </w:r>
    </w:p>
    <w:p w14:paraId="0693C17A" w14:textId="77777777" w:rsidR="00844310" w:rsidRDefault="00844310" w:rsidP="00844310">
      <w:pPr>
        <w:widowControl w:val="0"/>
        <w:overflowPunct w:val="0"/>
        <w:autoSpaceDE w:val="0"/>
        <w:autoSpaceDN w:val="0"/>
        <w:adjustRightInd w:val="0"/>
        <w:spacing w:after="0" w:line="261" w:lineRule="auto"/>
        <w:jc w:val="both"/>
        <w:rPr>
          <w:rFonts w:ascii="Times New Roman" w:hAnsi="Times New Roman" w:cs="Times New Roman"/>
          <w:b/>
          <w:bCs/>
          <w:i/>
          <w:iCs/>
          <w:lang w:val="en-GB"/>
        </w:rPr>
      </w:pPr>
    </w:p>
    <w:p w14:paraId="6196000A" w14:textId="11CF97CB"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b/>
          <w:bCs/>
          <w:i/>
          <w:iCs/>
        </w:rPr>
      </w:pPr>
      <w:bookmarkStart w:id="1" w:name="_Hlk210203900"/>
      <w:r w:rsidRPr="00A24728">
        <w:rPr>
          <w:rFonts w:ascii="Times New Roman" w:hAnsi="Times New Roman" w:cs="Times New Roman"/>
          <w:b/>
          <w:bCs/>
          <w:i/>
          <w:iCs/>
        </w:rPr>
        <w:t>Important notices relating to financial advisers</w:t>
      </w:r>
    </w:p>
    <w:p w14:paraId="71115D6E" w14:textId="77777777"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i/>
          <w:iCs/>
        </w:rPr>
      </w:pPr>
    </w:p>
    <w:p w14:paraId="195A0F18" w14:textId="01CE26D4"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i/>
          <w:iCs/>
        </w:rPr>
      </w:pPr>
      <w:r w:rsidRPr="00A24728">
        <w:rPr>
          <w:rFonts w:ascii="Times New Roman" w:hAnsi="Times New Roman" w:cs="Times New Roman"/>
          <w:i/>
          <w:iCs/>
        </w:rPr>
        <w:t>Singer Capital Markets Advisory LLP ("</w:t>
      </w:r>
      <w:r w:rsidRPr="00A24728">
        <w:rPr>
          <w:rFonts w:ascii="Times New Roman" w:hAnsi="Times New Roman" w:cs="Times New Roman"/>
          <w:b/>
          <w:bCs/>
          <w:i/>
          <w:iCs/>
        </w:rPr>
        <w:t>Singer Capital Markets</w:t>
      </w:r>
      <w:r w:rsidRPr="00A24728">
        <w:rPr>
          <w:rFonts w:ascii="Times New Roman" w:hAnsi="Times New Roman" w:cs="Times New Roman"/>
          <w:i/>
          <w:iCs/>
        </w:rPr>
        <w:t xml:space="preserve">"), which is authorised and regulated in the United Kingdom by the FCA, is acting as </w:t>
      </w:r>
      <w:r w:rsidR="006D1D41" w:rsidRPr="00A24728">
        <w:rPr>
          <w:rFonts w:ascii="Times New Roman" w:hAnsi="Times New Roman" w:cs="Times New Roman"/>
          <w:i/>
          <w:iCs/>
        </w:rPr>
        <w:t>F</w:t>
      </w:r>
      <w:r w:rsidRPr="00A24728">
        <w:rPr>
          <w:rFonts w:ascii="Times New Roman" w:hAnsi="Times New Roman" w:cs="Times New Roman"/>
          <w:i/>
          <w:iCs/>
        </w:rPr>
        <w:t xml:space="preserve">inancial </w:t>
      </w:r>
      <w:r w:rsidR="006D1D41" w:rsidRPr="00A24728">
        <w:rPr>
          <w:rFonts w:ascii="Times New Roman" w:hAnsi="Times New Roman" w:cs="Times New Roman"/>
          <w:i/>
          <w:iCs/>
        </w:rPr>
        <w:t>A</w:t>
      </w:r>
      <w:r w:rsidRPr="00A24728">
        <w:rPr>
          <w:rFonts w:ascii="Times New Roman" w:hAnsi="Times New Roman" w:cs="Times New Roman"/>
          <w:i/>
          <w:iCs/>
        </w:rPr>
        <w:t xml:space="preserve">dviser exclusively to DORE and no one else in connection with the matters described in this </w:t>
      </w:r>
      <w:r w:rsidR="006C17BB" w:rsidRPr="00A24728">
        <w:rPr>
          <w:rFonts w:ascii="Times New Roman" w:hAnsi="Times New Roman" w:cs="Times New Roman"/>
          <w:i/>
          <w:iCs/>
        </w:rPr>
        <w:t xml:space="preserve">announcement </w:t>
      </w:r>
      <w:r w:rsidRPr="00A24728">
        <w:rPr>
          <w:rFonts w:ascii="Times New Roman" w:hAnsi="Times New Roman" w:cs="Times New Roman"/>
          <w:i/>
          <w:iCs/>
        </w:rPr>
        <w:t xml:space="preserve">and will not regard any other person as its client in respect thereof or be responsible to anyone other than DORE for providing the protections afforded to clients of Singer Capital Markets or its affiliates nor for providing advice in connection with any matter referred to in this </w:t>
      </w:r>
      <w:r w:rsidR="006C17BB" w:rsidRPr="00A24728">
        <w:rPr>
          <w:rFonts w:ascii="Times New Roman" w:hAnsi="Times New Roman" w:cs="Times New Roman"/>
          <w:i/>
          <w:iCs/>
        </w:rPr>
        <w:t>announcement.</w:t>
      </w:r>
      <w:r w:rsidRPr="00A24728">
        <w:rPr>
          <w:rFonts w:ascii="Times New Roman" w:hAnsi="Times New Roman" w:cs="Times New Roman"/>
          <w:i/>
          <w:iCs/>
        </w:rPr>
        <w:t xml:space="preserve"> Neither Singer Capital Markets nor any of its affiliates (nor their respective directors, officers, employees or agents) owes or accepts any duty, liability or responsibility whatsoever (whether direct or indirect, whether in contract, in tort, under statute or otherwise) to any person who is not a client of Singer Capital Markets or its affiliates in connection with this</w:t>
      </w:r>
      <w:r w:rsidR="006C17BB" w:rsidRPr="00A24728">
        <w:rPr>
          <w:rFonts w:ascii="Times New Roman" w:hAnsi="Times New Roman" w:cs="Times New Roman"/>
          <w:i/>
          <w:iCs/>
        </w:rPr>
        <w:t xml:space="preserve"> announcement</w:t>
      </w:r>
      <w:r w:rsidRPr="00A24728">
        <w:rPr>
          <w:rFonts w:ascii="Times New Roman" w:hAnsi="Times New Roman" w:cs="Times New Roman"/>
          <w:i/>
          <w:iCs/>
        </w:rPr>
        <w:t>, any statement contained herein, the Acquisition</w:t>
      </w:r>
      <w:r w:rsidR="006D1D41" w:rsidRPr="00A24728">
        <w:rPr>
          <w:rFonts w:ascii="Times New Roman" w:hAnsi="Times New Roman" w:cs="Times New Roman"/>
          <w:i/>
          <w:iCs/>
        </w:rPr>
        <w:t xml:space="preserve">, the Scheme </w:t>
      </w:r>
      <w:r w:rsidRPr="00A24728">
        <w:rPr>
          <w:rFonts w:ascii="Times New Roman" w:hAnsi="Times New Roman" w:cs="Times New Roman"/>
          <w:i/>
          <w:iCs/>
        </w:rPr>
        <w:t xml:space="preserve">or otherwise. No representation or warranty, express or implied, is made by Singer Capital Markets as to the contents of this </w:t>
      </w:r>
      <w:r w:rsidR="006C17BB" w:rsidRPr="00A24728">
        <w:rPr>
          <w:rFonts w:ascii="Times New Roman" w:hAnsi="Times New Roman" w:cs="Times New Roman"/>
          <w:i/>
          <w:iCs/>
        </w:rPr>
        <w:t>announcement</w:t>
      </w:r>
      <w:r w:rsidRPr="00A24728">
        <w:rPr>
          <w:rFonts w:ascii="Times New Roman" w:hAnsi="Times New Roman" w:cs="Times New Roman"/>
          <w:i/>
          <w:iCs/>
        </w:rPr>
        <w:t>.</w:t>
      </w:r>
    </w:p>
    <w:p w14:paraId="2F01C903" w14:textId="77777777"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i/>
          <w:iCs/>
        </w:rPr>
      </w:pPr>
    </w:p>
    <w:p w14:paraId="728941E4" w14:textId="257C73B7"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i/>
          <w:iCs/>
        </w:rPr>
      </w:pPr>
      <w:r w:rsidRPr="00A24728">
        <w:rPr>
          <w:rFonts w:ascii="Times New Roman" w:hAnsi="Times New Roman" w:cs="Times New Roman"/>
          <w:i/>
          <w:iCs/>
        </w:rPr>
        <w:t>Dickson Minto Advisers LLP ("</w:t>
      </w:r>
      <w:r w:rsidRPr="00A24728">
        <w:rPr>
          <w:rFonts w:ascii="Times New Roman" w:hAnsi="Times New Roman" w:cs="Times New Roman"/>
          <w:b/>
          <w:bCs/>
          <w:i/>
          <w:iCs/>
        </w:rPr>
        <w:t>Dickson Minto Advisers</w:t>
      </w:r>
      <w:r w:rsidRPr="00A24728">
        <w:rPr>
          <w:rFonts w:ascii="Times New Roman" w:hAnsi="Times New Roman" w:cs="Times New Roman"/>
          <w:i/>
          <w:iCs/>
        </w:rPr>
        <w:t xml:space="preserve">"), which is authorised and regulated in the United Kingdom by the FCA, is acting as </w:t>
      </w:r>
      <w:r w:rsidR="006D1D41" w:rsidRPr="00A24728">
        <w:rPr>
          <w:rFonts w:ascii="Times New Roman" w:hAnsi="Times New Roman" w:cs="Times New Roman"/>
          <w:i/>
          <w:iCs/>
        </w:rPr>
        <w:t>F</w:t>
      </w:r>
      <w:r w:rsidRPr="00A24728">
        <w:rPr>
          <w:rFonts w:ascii="Times New Roman" w:hAnsi="Times New Roman" w:cs="Times New Roman"/>
          <w:i/>
          <w:iCs/>
        </w:rPr>
        <w:t xml:space="preserve">inancial </w:t>
      </w:r>
      <w:r w:rsidR="006D1D41" w:rsidRPr="00A24728">
        <w:rPr>
          <w:rFonts w:ascii="Times New Roman" w:hAnsi="Times New Roman" w:cs="Times New Roman"/>
          <w:i/>
          <w:iCs/>
        </w:rPr>
        <w:t>A</w:t>
      </w:r>
      <w:r w:rsidRPr="00A24728">
        <w:rPr>
          <w:rFonts w:ascii="Times New Roman" w:hAnsi="Times New Roman" w:cs="Times New Roman"/>
          <w:i/>
          <w:iCs/>
        </w:rPr>
        <w:t xml:space="preserve">dviser exclusively to Bidco and Bagnall and no-one else in connection with the matters described in this </w:t>
      </w:r>
      <w:r w:rsidR="006C17BB" w:rsidRPr="00A24728">
        <w:rPr>
          <w:rFonts w:ascii="Times New Roman" w:hAnsi="Times New Roman" w:cs="Times New Roman"/>
          <w:i/>
          <w:iCs/>
        </w:rPr>
        <w:t xml:space="preserve">announcement </w:t>
      </w:r>
      <w:r w:rsidRPr="00A24728">
        <w:rPr>
          <w:rFonts w:ascii="Times New Roman" w:hAnsi="Times New Roman" w:cs="Times New Roman"/>
          <w:i/>
          <w:iCs/>
        </w:rPr>
        <w:t xml:space="preserve">and will not regard any other person as its client in respect thereof or be responsible to anyone other than Bidco or Bagnall for providing the protections afforded to clients of Dickson Minto Advisers or its affiliates nor for providing advice in connection with any matter referred to in this </w:t>
      </w:r>
      <w:r w:rsidR="006C17BB" w:rsidRPr="00A24728">
        <w:rPr>
          <w:rFonts w:ascii="Times New Roman" w:hAnsi="Times New Roman" w:cs="Times New Roman"/>
          <w:i/>
          <w:iCs/>
        </w:rPr>
        <w:t>announcement</w:t>
      </w:r>
      <w:r w:rsidRPr="00A24728">
        <w:rPr>
          <w:rFonts w:ascii="Times New Roman" w:hAnsi="Times New Roman" w:cs="Times New Roman"/>
          <w:i/>
          <w:iCs/>
        </w:rPr>
        <w:t xml:space="preserve">. Neither Dickson Minto Advisers nor any of its affiliates (nor their respective directors, officers, employees or agents) owes or accepts any duty, liability or responsibility whatsoever (whether direct or indirect, whether in contract, in tort, under statute or otherwise) to any person who is not a client of Dickson Minto Advisers or its affiliates in connection with this </w:t>
      </w:r>
      <w:r w:rsidR="006C17BB" w:rsidRPr="00A24728">
        <w:rPr>
          <w:rFonts w:ascii="Times New Roman" w:hAnsi="Times New Roman" w:cs="Times New Roman"/>
          <w:i/>
          <w:iCs/>
        </w:rPr>
        <w:t>announcement</w:t>
      </w:r>
      <w:r w:rsidRPr="00A24728">
        <w:rPr>
          <w:rFonts w:ascii="Times New Roman" w:hAnsi="Times New Roman" w:cs="Times New Roman"/>
          <w:i/>
          <w:iCs/>
        </w:rPr>
        <w:t>, any statement contained herein, the Acquisition, the Scheme or otherwise. No representation or warranty, express or implied, is made by Dickson Minto Advisers as to the contents of this</w:t>
      </w:r>
      <w:r w:rsidR="006C17BB" w:rsidRPr="00A24728">
        <w:rPr>
          <w:rFonts w:ascii="Times New Roman" w:hAnsi="Times New Roman" w:cs="Times New Roman"/>
          <w:i/>
          <w:iCs/>
        </w:rPr>
        <w:t xml:space="preserve"> announcement</w:t>
      </w:r>
      <w:r w:rsidRPr="00A24728">
        <w:rPr>
          <w:rFonts w:ascii="Times New Roman" w:hAnsi="Times New Roman" w:cs="Times New Roman"/>
          <w:i/>
          <w:iCs/>
        </w:rPr>
        <w:t>.</w:t>
      </w:r>
    </w:p>
    <w:p w14:paraId="463AF3FF" w14:textId="77777777"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i/>
          <w:iCs/>
        </w:rPr>
      </w:pPr>
    </w:p>
    <w:p w14:paraId="6BA50DDE" w14:textId="08D93A48"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b/>
          <w:bCs/>
          <w:i/>
          <w:iCs/>
        </w:rPr>
      </w:pPr>
      <w:r w:rsidRPr="00A24728">
        <w:rPr>
          <w:rFonts w:ascii="Times New Roman" w:hAnsi="Times New Roman" w:cs="Times New Roman"/>
          <w:b/>
          <w:bCs/>
          <w:i/>
          <w:iCs/>
        </w:rPr>
        <w:t xml:space="preserve">Further </w:t>
      </w:r>
      <w:r w:rsidR="006D1D41" w:rsidRPr="00A24728">
        <w:rPr>
          <w:rFonts w:ascii="Times New Roman" w:hAnsi="Times New Roman" w:cs="Times New Roman"/>
          <w:b/>
          <w:bCs/>
          <w:i/>
          <w:iCs/>
        </w:rPr>
        <w:t>i</w:t>
      </w:r>
      <w:r w:rsidRPr="00A24728">
        <w:rPr>
          <w:rFonts w:ascii="Times New Roman" w:hAnsi="Times New Roman" w:cs="Times New Roman"/>
          <w:b/>
          <w:bCs/>
          <w:i/>
          <w:iCs/>
        </w:rPr>
        <w:t>nformation</w:t>
      </w:r>
    </w:p>
    <w:p w14:paraId="05168AF5" w14:textId="77777777" w:rsidR="00787FA1" w:rsidRPr="00A24728" w:rsidRDefault="00787FA1" w:rsidP="00787FA1">
      <w:pPr>
        <w:widowControl w:val="0"/>
        <w:overflowPunct w:val="0"/>
        <w:autoSpaceDE w:val="0"/>
        <w:autoSpaceDN w:val="0"/>
        <w:adjustRightInd w:val="0"/>
        <w:spacing w:after="0" w:line="261" w:lineRule="auto"/>
        <w:jc w:val="both"/>
        <w:rPr>
          <w:rFonts w:ascii="Times New Roman" w:hAnsi="Times New Roman" w:cs="Times New Roman"/>
          <w:i/>
          <w:iCs/>
        </w:rPr>
      </w:pPr>
    </w:p>
    <w:p w14:paraId="5AE39334" w14:textId="6940C202" w:rsidR="009D062A" w:rsidRPr="00A24728" w:rsidRDefault="009D062A" w:rsidP="009D062A">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This announcement is for information purposes only. It is not intended to, and does not, constitute or form part of any offer, invitation or the solicitation of an offer to purchase, otherwise acquire, subscribe for, sell or otherwise dispose of any securities or the solicitation of any vote or approval in any jurisdiction pursuant to the Acquisition or otherwise, nor shall there be any sale, issuance or transfer of securities in DORE in any jurisdiction in contravention of applicable law. The Acquisition will be made solely through the Scheme Document (or, in the event that the Acquisition is to be implemented by means of a Takeover Offer, the Offer Document), which contain</w:t>
      </w:r>
      <w:r w:rsidR="00DA63D4">
        <w:rPr>
          <w:rFonts w:ascii="Times New Roman" w:hAnsi="Times New Roman" w:cs="Times New Roman"/>
          <w:i/>
          <w:iCs/>
          <w:lang w:val="en-GB"/>
        </w:rPr>
        <w:t>s</w:t>
      </w:r>
      <w:r w:rsidRPr="00A24728">
        <w:rPr>
          <w:rFonts w:ascii="Times New Roman" w:hAnsi="Times New Roman" w:cs="Times New Roman"/>
          <w:i/>
          <w:iCs/>
          <w:lang w:val="en-GB"/>
        </w:rPr>
        <w:t xml:space="preserve"> the full terms and conditions of the Acquisition</w:t>
      </w:r>
      <w:r w:rsidR="00E177C2">
        <w:rPr>
          <w:rFonts w:ascii="Times New Roman" w:hAnsi="Times New Roman" w:cs="Times New Roman"/>
          <w:i/>
          <w:iCs/>
          <w:lang w:val="en-GB"/>
        </w:rPr>
        <w:t xml:space="preserve">. </w:t>
      </w:r>
      <w:r w:rsidRPr="00A24728">
        <w:rPr>
          <w:rFonts w:ascii="Times New Roman" w:hAnsi="Times New Roman" w:cs="Times New Roman"/>
          <w:i/>
          <w:iCs/>
          <w:lang w:val="en-GB"/>
        </w:rPr>
        <w:t>Any response in relation to the Acquisition should be made solely on the basis of the Scheme Document (or, in the event that the Acquisition is to be implemented by means of a Takeover Offer, the Offer Document). DORE and Bidco urge DORE Shareholders to read the Scheme Document carefully because it contain</w:t>
      </w:r>
      <w:r w:rsidR="00DA63D4">
        <w:rPr>
          <w:rFonts w:ascii="Times New Roman" w:hAnsi="Times New Roman" w:cs="Times New Roman"/>
          <w:i/>
          <w:iCs/>
          <w:lang w:val="en-GB"/>
        </w:rPr>
        <w:t xml:space="preserve">s </w:t>
      </w:r>
      <w:r w:rsidRPr="00A24728">
        <w:rPr>
          <w:rFonts w:ascii="Times New Roman" w:hAnsi="Times New Roman" w:cs="Times New Roman"/>
          <w:i/>
          <w:iCs/>
          <w:lang w:val="en-GB"/>
        </w:rPr>
        <w:t>important information relating to the Acquisition.</w:t>
      </w:r>
    </w:p>
    <w:p w14:paraId="67930881" w14:textId="77777777" w:rsidR="009D062A" w:rsidRPr="00A24728" w:rsidRDefault="009D062A" w:rsidP="009D062A">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4E77D02D" w14:textId="390D70E1" w:rsidR="004F0885" w:rsidRPr="00A24728" w:rsidRDefault="009D062A" w:rsidP="009D062A">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The statements contained in this announcement are made as at the date of this announcement, unless some other time is specified in relation to them, and the release of this announcement shall not give rise to any implication that there has been no change in the facts set out in this announcement since such date. This announcement does not constitute a prospectus or a prospectus equivalent document.</w:t>
      </w:r>
    </w:p>
    <w:p w14:paraId="19A30867" w14:textId="77777777" w:rsidR="009D062A" w:rsidRPr="00A24728" w:rsidRDefault="009D062A" w:rsidP="009D062A">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1E861589" w14:textId="77777777" w:rsidR="009D062A" w:rsidRPr="00A24728" w:rsidRDefault="009D062A" w:rsidP="009D062A">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No person should construe the contents of this announcement as legal, financial or tax advice. If you are in any doubt about the contents of this announcement or the action you should take, you are recommended to seek your own independent financial advice immediately from your stockbroker, bank manager, solicitor, accountant, or independent financial adviser duly authorised under FSMA if you are resident in the United Kingdom or, if not, from another appropriately authorised independent financial adviser.</w:t>
      </w:r>
    </w:p>
    <w:p w14:paraId="19B97A91" w14:textId="77777777" w:rsidR="008E505B" w:rsidRPr="00A24728" w:rsidRDefault="008E505B" w:rsidP="009D062A">
      <w:pPr>
        <w:widowControl w:val="0"/>
        <w:overflowPunct w:val="0"/>
        <w:autoSpaceDE w:val="0"/>
        <w:autoSpaceDN w:val="0"/>
        <w:adjustRightInd w:val="0"/>
        <w:spacing w:after="0" w:line="261" w:lineRule="auto"/>
        <w:jc w:val="both"/>
        <w:rPr>
          <w:rFonts w:ascii="Times New Roman" w:hAnsi="Times New Roman" w:cs="Times New Roman"/>
          <w:i/>
          <w:iCs/>
          <w:sz w:val="20"/>
          <w:szCs w:val="20"/>
          <w:lang w:val="en-GB"/>
        </w:rPr>
      </w:pPr>
    </w:p>
    <w:p w14:paraId="1D008CD3" w14:textId="08D55D6E" w:rsidR="00787FA1" w:rsidRPr="00A24728" w:rsidRDefault="00787FA1" w:rsidP="00787FA1">
      <w:pPr>
        <w:widowControl w:val="0"/>
        <w:overflowPunct w:val="0"/>
        <w:autoSpaceDE w:val="0"/>
        <w:autoSpaceDN w:val="0"/>
        <w:adjustRightInd w:val="0"/>
        <w:spacing w:after="0" w:line="240" w:lineRule="auto"/>
        <w:jc w:val="both"/>
        <w:rPr>
          <w:rFonts w:ascii="Times New Roman" w:hAnsi="Times New Roman" w:cs="Times New Roman"/>
          <w:b/>
          <w:bCs/>
          <w:i/>
          <w:iCs/>
        </w:rPr>
      </w:pPr>
      <w:r w:rsidRPr="00A24728">
        <w:rPr>
          <w:rFonts w:ascii="Times New Roman" w:hAnsi="Times New Roman" w:cs="Times New Roman"/>
          <w:b/>
          <w:bCs/>
          <w:i/>
          <w:iCs/>
        </w:rPr>
        <w:t xml:space="preserve">Overseas </w:t>
      </w:r>
      <w:r w:rsidR="006D1D41" w:rsidRPr="00A24728">
        <w:rPr>
          <w:rFonts w:ascii="Times New Roman" w:hAnsi="Times New Roman" w:cs="Times New Roman"/>
          <w:b/>
          <w:bCs/>
          <w:i/>
          <w:iCs/>
        </w:rPr>
        <w:t>s</w:t>
      </w:r>
      <w:r w:rsidRPr="00A24728">
        <w:rPr>
          <w:rFonts w:ascii="Times New Roman" w:hAnsi="Times New Roman" w:cs="Times New Roman"/>
          <w:b/>
          <w:bCs/>
          <w:i/>
          <w:iCs/>
        </w:rPr>
        <w:t>hareholders</w:t>
      </w:r>
    </w:p>
    <w:p w14:paraId="39272AAF" w14:textId="77777777" w:rsidR="00787FA1" w:rsidRPr="00A24728" w:rsidRDefault="00787FA1" w:rsidP="00787FA1">
      <w:pPr>
        <w:widowControl w:val="0"/>
        <w:overflowPunct w:val="0"/>
        <w:autoSpaceDE w:val="0"/>
        <w:autoSpaceDN w:val="0"/>
        <w:adjustRightInd w:val="0"/>
        <w:spacing w:after="0" w:line="240" w:lineRule="auto"/>
        <w:jc w:val="both"/>
        <w:rPr>
          <w:rFonts w:ascii="Times New Roman" w:hAnsi="Times New Roman" w:cs="Times New Roman"/>
          <w:i/>
          <w:iCs/>
        </w:rPr>
      </w:pPr>
    </w:p>
    <w:p w14:paraId="2E9D3F9C" w14:textId="62592E04" w:rsidR="00787FA1" w:rsidRPr="00060A1B" w:rsidRDefault="008465A6"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This announcement has been prepared in accordance with, and for the purpose of, complying with English law, the Code, MAR, the DTRs and the UK Listing Rules, and the information disclosed may not be the same as that which would have been disclosed if this announcement had been prepared in accordance with the laws of jurisdictions outside England.</w:t>
      </w:r>
      <w:r w:rsidRPr="00060A1B" w:rsidDel="006D1700">
        <w:rPr>
          <w:rFonts w:ascii="Times New Roman" w:hAnsi="Times New Roman" w:cs="Times New Roman"/>
          <w:i/>
          <w:iCs/>
          <w:lang w:val="en-GB"/>
        </w:rPr>
        <w:t xml:space="preserve"> </w:t>
      </w:r>
    </w:p>
    <w:p w14:paraId="619E1AD0"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097780EC" w14:textId="7D52B3BA"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The release, publication or distribution of this </w:t>
      </w:r>
      <w:r w:rsidR="008465A6" w:rsidRPr="00060A1B">
        <w:rPr>
          <w:rFonts w:ascii="Times New Roman" w:hAnsi="Times New Roman" w:cs="Times New Roman"/>
          <w:i/>
          <w:iCs/>
          <w:lang w:val="en-GB"/>
        </w:rPr>
        <w:t xml:space="preserve">announcement </w:t>
      </w:r>
      <w:r w:rsidRPr="00060A1B">
        <w:rPr>
          <w:rFonts w:ascii="Times New Roman" w:hAnsi="Times New Roman" w:cs="Times New Roman"/>
          <w:i/>
          <w:iCs/>
          <w:lang w:val="en-GB"/>
        </w:rPr>
        <w:t>in, into or from jurisdictions other than the United Kingdom may be restricted by law</w:t>
      </w:r>
      <w:r w:rsidR="008465A6" w:rsidRPr="00060A1B">
        <w:rPr>
          <w:rFonts w:ascii="Times New Roman" w:hAnsi="Times New Roman" w:cs="Times New Roman"/>
          <w:i/>
          <w:iCs/>
          <w:lang w:val="en-GB"/>
        </w:rPr>
        <w:t xml:space="preserve"> and/or regulation</w:t>
      </w:r>
      <w:r w:rsidRPr="00060A1B">
        <w:rPr>
          <w:rFonts w:ascii="Times New Roman" w:hAnsi="Times New Roman" w:cs="Times New Roman"/>
          <w:i/>
          <w:iCs/>
          <w:lang w:val="en-GB"/>
        </w:rPr>
        <w:t xml:space="preserve"> and therefore any persons who are</w:t>
      </w:r>
      <w:r w:rsidR="008465A6" w:rsidRPr="00060A1B">
        <w:rPr>
          <w:rFonts w:ascii="Times New Roman" w:hAnsi="Times New Roman" w:cs="Times New Roman"/>
          <w:i/>
          <w:iCs/>
          <w:lang w:val="en-GB"/>
        </w:rPr>
        <w:t xml:space="preserve"> not resident in the United Kingdom or who are </w:t>
      </w:r>
      <w:r w:rsidRPr="00060A1B">
        <w:rPr>
          <w:rFonts w:ascii="Times New Roman" w:hAnsi="Times New Roman" w:cs="Times New Roman"/>
          <w:i/>
          <w:iCs/>
          <w:lang w:val="en-GB"/>
        </w:rPr>
        <w:t>subject to the laws of any jurisdiction other than the United Kingdom (including Restricted Jurisdictions) should inform themselves about, and observe</w:t>
      </w:r>
      <w:r w:rsidR="00E62876" w:rsidRPr="00060A1B">
        <w:rPr>
          <w:rFonts w:ascii="Times New Roman" w:hAnsi="Times New Roman" w:cs="Times New Roman"/>
          <w:i/>
          <w:iCs/>
          <w:lang w:val="en-GB"/>
        </w:rPr>
        <w:t xml:space="preserve"> any applicable legal or regulatory requirements. In particular, the ability of persons who are not resident in the United Kingdom or who are subject to the laws of any jurisdiction other than the United Kingdom to participate in the Acquisition or to vote their Scheme Voting Shares or DORE Shares (as applicable) in respect of the Scheme at the Court Meeting or the </w:t>
      </w:r>
      <w:r w:rsidR="00DA63D4">
        <w:rPr>
          <w:rFonts w:ascii="Times New Roman" w:hAnsi="Times New Roman" w:cs="Times New Roman"/>
          <w:i/>
          <w:iCs/>
          <w:lang w:val="en-GB"/>
        </w:rPr>
        <w:t xml:space="preserve">Special </w:t>
      </w:r>
      <w:r w:rsidR="00E62876" w:rsidRPr="00060A1B">
        <w:rPr>
          <w:rFonts w:ascii="Times New Roman" w:hAnsi="Times New Roman" w:cs="Times New Roman"/>
          <w:i/>
          <w:iCs/>
          <w:lang w:val="en-GB"/>
        </w:rPr>
        <w:t>Resolution at the General Meeting, or to appoint another person as proxy to vote at the Court Meeting or the General Meeting on their behalf, may be affected by the laws of the jurisdictions</w:t>
      </w:r>
      <w:r w:rsidRPr="00060A1B">
        <w:rPr>
          <w:rFonts w:ascii="Times New Roman" w:hAnsi="Times New Roman" w:cs="Times New Roman"/>
          <w:i/>
          <w:iCs/>
          <w:lang w:val="en-GB"/>
        </w:rPr>
        <w:t xml:space="preserve"> in which they are located or to which they are subject. Any failure to comply with the applicable legal or regulatory requirements of any jurisdiction may constitute a violation of the securities laws and regulations of any such jurisdiction. To the fullest extent permitted by applicable law, the companies, advisers and persons involved in the Acquisition disclaim any responsibility or liability for the violation of such restrictions by any person.</w:t>
      </w:r>
    </w:p>
    <w:p w14:paraId="48998BAA"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3B52B163" w14:textId="2E9F57A2" w:rsidR="00987D97"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Unless otherwise determined by Bidco or required by the Code, and permitted by applicable law and regulation, the Acquisition </w:t>
      </w:r>
      <w:r w:rsidR="00987D97" w:rsidRPr="00060A1B">
        <w:rPr>
          <w:rFonts w:ascii="Times New Roman" w:hAnsi="Times New Roman" w:cs="Times New Roman"/>
          <w:i/>
          <w:iCs/>
          <w:lang w:val="en-GB"/>
        </w:rPr>
        <w:t xml:space="preserve">shall </w:t>
      </w:r>
      <w:r w:rsidRPr="00060A1B">
        <w:rPr>
          <w:rFonts w:ascii="Times New Roman" w:hAnsi="Times New Roman" w:cs="Times New Roman"/>
          <w:i/>
          <w:iCs/>
          <w:lang w:val="en-GB"/>
        </w:rPr>
        <w:t xml:space="preserve">not be made available, directly or indirectly, in, into or from a Restricted Jurisdiction or any other jurisdiction where to do so would violate the laws </w:t>
      </w:r>
      <w:r w:rsidR="00987D97" w:rsidRPr="00060A1B">
        <w:rPr>
          <w:rFonts w:ascii="Times New Roman" w:hAnsi="Times New Roman" w:cs="Times New Roman"/>
          <w:i/>
          <w:iCs/>
          <w:lang w:val="en-GB"/>
        </w:rPr>
        <w:t xml:space="preserve">or regulations </w:t>
      </w:r>
      <w:r w:rsidRPr="00060A1B">
        <w:rPr>
          <w:rFonts w:ascii="Times New Roman" w:hAnsi="Times New Roman" w:cs="Times New Roman"/>
          <w:i/>
          <w:iCs/>
          <w:lang w:val="en-GB"/>
        </w:rPr>
        <w:t xml:space="preserve">in that jurisdiction and no person may vote in favour of the </w:t>
      </w:r>
      <w:r w:rsidR="00987D97" w:rsidRPr="00060A1B">
        <w:rPr>
          <w:rFonts w:ascii="Times New Roman" w:hAnsi="Times New Roman" w:cs="Times New Roman"/>
          <w:i/>
          <w:iCs/>
          <w:lang w:val="en-GB"/>
        </w:rPr>
        <w:t xml:space="preserve">Acquisition by use of the mails or any other means or instrumentality (including, without limitation, facsimile, e-mail or other electronic transmission, telex or telephone) of interstate or foreign commerce of, or any facility of a national, state or other securities exchange of, any Restricted Jurisdiction </w:t>
      </w:r>
      <w:r w:rsidRPr="00060A1B">
        <w:rPr>
          <w:rFonts w:ascii="Times New Roman" w:hAnsi="Times New Roman" w:cs="Times New Roman"/>
          <w:i/>
          <w:iCs/>
          <w:lang w:val="en-GB"/>
        </w:rPr>
        <w:t xml:space="preserve">or from within any Restricted Jurisdiction or any other jurisdiction if to do so would constitute a violation of the laws of that jurisdiction. </w:t>
      </w:r>
    </w:p>
    <w:p w14:paraId="6E7DA971" w14:textId="77777777" w:rsidR="00987D97" w:rsidRPr="00060A1B" w:rsidRDefault="00987D97"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458FDFDC" w14:textId="3A8D73A6" w:rsidR="00787FA1" w:rsidRPr="00060A1B" w:rsidRDefault="00987D97"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C</w:t>
      </w:r>
      <w:r w:rsidR="00787FA1" w:rsidRPr="00060A1B">
        <w:rPr>
          <w:rFonts w:ascii="Times New Roman" w:hAnsi="Times New Roman" w:cs="Times New Roman"/>
          <w:i/>
          <w:iCs/>
          <w:lang w:val="en-GB"/>
        </w:rPr>
        <w:t xml:space="preserve">opies of this </w:t>
      </w:r>
      <w:r w:rsidRPr="00060A1B">
        <w:rPr>
          <w:rFonts w:ascii="Times New Roman" w:hAnsi="Times New Roman" w:cs="Times New Roman"/>
          <w:i/>
          <w:iCs/>
          <w:lang w:val="en-GB"/>
        </w:rPr>
        <w:t xml:space="preserve">announcement </w:t>
      </w:r>
      <w:r w:rsidR="00787FA1" w:rsidRPr="00060A1B">
        <w:rPr>
          <w:rFonts w:ascii="Times New Roman" w:hAnsi="Times New Roman" w:cs="Times New Roman"/>
          <w:i/>
          <w:iCs/>
          <w:lang w:val="en-GB"/>
        </w:rPr>
        <w:t xml:space="preserve">and any formal documentation relating to the Acquisition are not being, and must not be, directly or indirectly, mailed or otherwise forwarded, distributed or sent in, into or from any Restricted Jurisdiction or any other jurisdiction where to do so would </w:t>
      </w:r>
      <w:r w:rsidRPr="00060A1B">
        <w:rPr>
          <w:rFonts w:ascii="Times New Roman" w:hAnsi="Times New Roman" w:cs="Times New Roman"/>
          <w:i/>
          <w:iCs/>
          <w:lang w:val="en-GB"/>
        </w:rPr>
        <w:t xml:space="preserve">constitute a violation of </w:t>
      </w:r>
      <w:r w:rsidR="00787FA1" w:rsidRPr="00060A1B">
        <w:rPr>
          <w:rFonts w:ascii="Times New Roman" w:hAnsi="Times New Roman" w:cs="Times New Roman"/>
          <w:i/>
          <w:iCs/>
          <w:lang w:val="en-GB"/>
        </w:rPr>
        <w:t>the laws</w:t>
      </w:r>
      <w:r w:rsidRPr="00060A1B">
        <w:rPr>
          <w:rFonts w:ascii="Times New Roman" w:hAnsi="Times New Roman" w:cs="Times New Roman"/>
          <w:i/>
          <w:iCs/>
          <w:lang w:val="en-GB"/>
        </w:rPr>
        <w:t xml:space="preserve"> or regulations of such</w:t>
      </w:r>
      <w:r w:rsidR="00787FA1" w:rsidRPr="00060A1B">
        <w:rPr>
          <w:rFonts w:ascii="Times New Roman" w:hAnsi="Times New Roman" w:cs="Times New Roman"/>
          <w:i/>
          <w:iCs/>
          <w:lang w:val="en-GB"/>
        </w:rPr>
        <w:t xml:space="preserve"> jurisdiction and persons receiving </w:t>
      </w:r>
      <w:r w:rsidRPr="00060A1B">
        <w:rPr>
          <w:rFonts w:ascii="Times New Roman" w:hAnsi="Times New Roman" w:cs="Times New Roman"/>
          <w:i/>
          <w:iCs/>
          <w:lang w:val="en-GB"/>
        </w:rPr>
        <w:t>such documents</w:t>
      </w:r>
      <w:r w:rsidR="00787FA1" w:rsidRPr="00060A1B">
        <w:rPr>
          <w:rFonts w:ascii="Times New Roman" w:hAnsi="Times New Roman" w:cs="Times New Roman"/>
          <w:i/>
          <w:iCs/>
          <w:lang w:val="en-GB"/>
        </w:rPr>
        <w:t xml:space="preserve"> (including custodians, nominees and trustees) must not mail or otherwise forward, distribute or send them in, into or from any Restricted Jurisdiction or any other jurisdiction where to do so would constitute a violation of the laws or regulations of such jurisdiction. Doing so may render invalid any related purported vote in respect of</w:t>
      </w:r>
      <w:r w:rsidRPr="00060A1B">
        <w:rPr>
          <w:rFonts w:ascii="Times New Roman" w:hAnsi="Times New Roman" w:cs="Times New Roman"/>
          <w:i/>
          <w:iCs/>
          <w:lang w:val="en-GB"/>
        </w:rPr>
        <w:t>, or acceptance of</w:t>
      </w:r>
      <w:r w:rsidR="006D1D41" w:rsidRPr="00060A1B">
        <w:rPr>
          <w:rFonts w:ascii="Times New Roman" w:hAnsi="Times New Roman" w:cs="Times New Roman"/>
          <w:i/>
          <w:iCs/>
          <w:lang w:val="en-GB"/>
        </w:rPr>
        <w:t>,</w:t>
      </w:r>
      <w:r w:rsidRPr="00060A1B">
        <w:rPr>
          <w:rFonts w:ascii="Times New Roman" w:hAnsi="Times New Roman" w:cs="Times New Roman"/>
          <w:i/>
          <w:iCs/>
          <w:lang w:val="en-GB"/>
        </w:rPr>
        <w:t xml:space="preserve"> </w:t>
      </w:r>
      <w:r w:rsidR="00787FA1" w:rsidRPr="00060A1B">
        <w:rPr>
          <w:rFonts w:ascii="Times New Roman" w:hAnsi="Times New Roman" w:cs="Times New Roman"/>
          <w:i/>
          <w:iCs/>
          <w:lang w:val="en-GB"/>
        </w:rPr>
        <w:t xml:space="preserve">the Acquisition. </w:t>
      </w:r>
    </w:p>
    <w:p w14:paraId="3B8BD25D"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7E1212A6" w14:textId="1228E485"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If the Acquisition is implemented by way of a Takeover Offer (unless otherwise permitted by applicable law </w:t>
      </w:r>
      <w:r w:rsidR="00987D97" w:rsidRPr="00060A1B">
        <w:rPr>
          <w:rFonts w:ascii="Times New Roman" w:hAnsi="Times New Roman" w:cs="Times New Roman"/>
          <w:i/>
          <w:iCs/>
          <w:lang w:val="en-GB"/>
        </w:rPr>
        <w:t xml:space="preserve">or </w:t>
      </w:r>
      <w:r w:rsidRPr="00060A1B">
        <w:rPr>
          <w:rFonts w:ascii="Times New Roman" w:hAnsi="Times New Roman" w:cs="Times New Roman"/>
          <w:i/>
          <w:iCs/>
          <w:lang w:val="en-GB"/>
        </w:rPr>
        <w:t xml:space="preserve">regulation), the Takeover Offer may not be made, directly or indirectly, in or into, or by use of </w:t>
      </w:r>
      <w:r w:rsidR="00987D97" w:rsidRPr="00060A1B">
        <w:rPr>
          <w:rFonts w:ascii="Times New Roman" w:hAnsi="Times New Roman" w:cs="Times New Roman"/>
          <w:i/>
          <w:iCs/>
          <w:lang w:val="en-GB"/>
        </w:rPr>
        <w:t xml:space="preserve">the </w:t>
      </w:r>
      <w:r w:rsidRPr="00060A1B">
        <w:rPr>
          <w:rFonts w:ascii="Times New Roman" w:hAnsi="Times New Roman" w:cs="Times New Roman"/>
          <w:i/>
          <w:iCs/>
          <w:lang w:val="en-GB"/>
        </w:rPr>
        <w:t xml:space="preserve">mails or any </w:t>
      </w:r>
      <w:r w:rsidR="00987D97" w:rsidRPr="00060A1B">
        <w:rPr>
          <w:rFonts w:ascii="Times New Roman" w:hAnsi="Times New Roman" w:cs="Times New Roman"/>
          <w:i/>
          <w:iCs/>
          <w:lang w:val="en-GB"/>
        </w:rPr>
        <w:t xml:space="preserve">other </w:t>
      </w:r>
      <w:r w:rsidRPr="00060A1B">
        <w:rPr>
          <w:rFonts w:ascii="Times New Roman" w:hAnsi="Times New Roman" w:cs="Times New Roman"/>
          <w:i/>
          <w:iCs/>
          <w:lang w:val="en-GB"/>
        </w:rPr>
        <w:t xml:space="preserve">means or instrumentality (including, </w:t>
      </w:r>
      <w:r w:rsidR="00987D97" w:rsidRPr="00060A1B">
        <w:rPr>
          <w:rFonts w:ascii="Times New Roman" w:hAnsi="Times New Roman" w:cs="Times New Roman"/>
          <w:i/>
          <w:iCs/>
          <w:lang w:val="en-GB"/>
        </w:rPr>
        <w:t>without limitation,</w:t>
      </w:r>
      <w:r w:rsidRPr="00060A1B">
        <w:rPr>
          <w:rFonts w:ascii="Times New Roman" w:hAnsi="Times New Roman" w:cs="Times New Roman"/>
          <w:i/>
          <w:iCs/>
          <w:lang w:val="en-GB"/>
        </w:rPr>
        <w:t xml:space="preserve"> facsimile, e</w:t>
      </w:r>
      <w:r w:rsidR="00987D97" w:rsidRPr="00060A1B">
        <w:rPr>
          <w:rFonts w:ascii="Times New Roman" w:hAnsi="Times New Roman" w:cs="Times New Roman"/>
          <w:i/>
          <w:iCs/>
          <w:lang w:val="en-GB"/>
        </w:rPr>
        <w:t>-</w:t>
      </w:r>
      <w:r w:rsidRPr="00060A1B">
        <w:rPr>
          <w:rFonts w:ascii="Times New Roman" w:hAnsi="Times New Roman" w:cs="Times New Roman"/>
          <w:i/>
          <w:iCs/>
          <w:lang w:val="en-GB"/>
        </w:rPr>
        <w:t>mail or other electronic transmission, telex or telephone) of interstate or foreign commerce of, or any facility of a national, state or other securities exchange of</w:t>
      </w:r>
      <w:r w:rsidR="006D1D41" w:rsidRPr="00060A1B">
        <w:rPr>
          <w:rFonts w:ascii="Times New Roman" w:hAnsi="Times New Roman" w:cs="Times New Roman"/>
          <w:i/>
          <w:iCs/>
          <w:lang w:val="en-GB"/>
        </w:rPr>
        <w:t>,</w:t>
      </w:r>
      <w:r w:rsidRPr="00060A1B">
        <w:rPr>
          <w:rFonts w:ascii="Times New Roman" w:hAnsi="Times New Roman" w:cs="Times New Roman"/>
          <w:i/>
          <w:iCs/>
          <w:lang w:val="en-GB"/>
        </w:rPr>
        <w:t xml:space="preserve"> any Restricted Jurisdiction and the Takeover Offer </w:t>
      </w:r>
      <w:r w:rsidR="00987D97" w:rsidRPr="00060A1B">
        <w:rPr>
          <w:rFonts w:ascii="Times New Roman" w:hAnsi="Times New Roman" w:cs="Times New Roman"/>
          <w:i/>
          <w:iCs/>
          <w:lang w:val="en-GB"/>
        </w:rPr>
        <w:t>will</w:t>
      </w:r>
      <w:r w:rsidRPr="00060A1B">
        <w:rPr>
          <w:rFonts w:ascii="Times New Roman" w:hAnsi="Times New Roman" w:cs="Times New Roman"/>
          <w:i/>
          <w:iCs/>
          <w:lang w:val="en-GB"/>
        </w:rPr>
        <w:t xml:space="preserve"> not be capable of acceptance by any such use, means, instrumentality or facilit</w:t>
      </w:r>
      <w:r w:rsidR="00987D97" w:rsidRPr="00060A1B">
        <w:rPr>
          <w:rFonts w:ascii="Times New Roman" w:hAnsi="Times New Roman" w:cs="Times New Roman"/>
          <w:i/>
          <w:iCs/>
          <w:lang w:val="en-GB"/>
        </w:rPr>
        <w:t>y</w:t>
      </w:r>
      <w:r w:rsidRPr="00060A1B">
        <w:rPr>
          <w:rFonts w:ascii="Times New Roman" w:hAnsi="Times New Roman" w:cs="Times New Roman"/>
          <w:i/>
          <w:iCs/>
          <w:lang w:val="en-GB"/>
        </w:rPr>
        <w:t xml:space="preserve"> or from or within any Restricted Jurisdiction.</w:t>
      </w:r>
    </w:p>
    <w:p w14:paraId="1662547B"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61A261FC" w14:textId="77777777" w:rsidR="00987D97" w:rsidRPr="00060A1B" w:rsidRDefault="00987D97"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The availability of the Acquisition to DORE Shareholders who are not resident in the United Kingdom may be affected by the laws of the jurisdiction in which they are resident. Persons who are not resident in the United Kingdom should inform themselves of, and observe, any applicable requirements. </w:t>
      </w:r>
    </w:p>
    <w:p w14:paraId="2D95EE78" w14:textId="77777777" w:rsidR="00987D97" w:rsidRPr="00060A1B" w:rsidRDefault="00987D97"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62961BCB" w14:textId="311C4C01" w:rsidR="00987D97" w:rsidRPr="00060A1B" w:rsidRDefault="00987D97"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Further details in relation to </w:t>
      </w:r>
      <w:r w:rsidR="006D1D41" w:rsidRPr="00060A1B">
        <w:rPr>
          <w:rFonts w:ascii="Times New Roman" w:hAnsi="Times New Roman" w:cs="Times New Roman"/>
          <w:i/>
          <w:iCs/>
          <w:lang w:val="en-GB"/>
        </w:rPr>
        <w:t xml:space="preserve">DORE </w:t>
      </w:r>
      <w:r w:rsidRPr="00060A1B">
        <w:rPr>
          <w:rFonts w:ascii="Times New Roman" w:hAnsi="Times New Roman" w:cs="Times New Roman"/>
          <w:i/>
          <w:iCs/>
          <w:lang w:val="en-GB"/>
        </w:rPr>
        <w:t>Shareholders</w:t>
      </w:r>
      <w:r w:rsidR="006D1D41" w:rsidRPr="00060A1B">
        <w:rPr>
          <w:rFonts w:ascii="Times New Roman" w:hAnsi="Times New Roman" w:cs="Times New Roman"/>
          <w:i/>
          <w:iCs/>
          <w:lang w:val="en-GB"/>
        </w:rPr>
        <w:t xml:space="preserve"> in overseas jurisdictions</w:t>
      </w:r>
      <w:r w:rsidRPr="00060A1B">
        <w:rPr>
          <w:rFonts w:ascii="Times New Roman" w:hAnsi="Times New Roman" w:cs="Times New Roman"/>
          <w:i/>
          <w:iCs/>
          <w:lang w:val="en-GB"/>
        </w:rPr>
        <w:t xml:space="preserve"> </w:t>
      </w:r>
      <w:r w:rsidR="00DA63D4">
        <w:rPr>
          <w:rFonts w:ascii="Times New Roman" w:hAnsi="Times New Roman" w:cs="Times New Roman"/>
          <w:i/>
          <w:iCs/>
          <w:lang w:val="en-GB"/>
        </w:rPr>
        <w:t>are</w:t>
      </w:r>
      <w:r w:rsidRPr="00060A1B">
        <w:rPr>
          <w:rFonts w:ascii="Times New Roman" w:hAnsi="Times New Roman" w:cs="Times New Roman"/>
          <w:i/>
          <w:iCs/>
          <w:lang w:val="en-GB"/>
        </w:rPr>
        <w:t xml:space="preserve"> contained in the Scheme Document.</w:t>
      </w:r>
      <w:r w:rsidR="000E101D" w:rsidRPr="00060A1B">
        <w:rPr>
          <w:rFonts w:ascii="Times New Roman" w:hAnsi="Times New Roman" w:cs="Times New Roman"/>
          <w:i/>
          <w:iCs/>
          <w:lang w:val="en-GB"/>
        </w:rPr>
        <w:tab/>
      </w:r>
    </w:p>
    <w:p w14:paraId="2A570E34" w14:textId="77777777" w:rsidR="006D1D41" w:rsidRPr="00060A1B" w:rsidRDefault="006D1D4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73779A3B" w14:textId="3B61ABD7" w:rsidR="006D1D41" w:rsidRPr="00060A1B" w:rsidRDefault="006D1D4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The Acquisition </w:t>
      </w:r>
      <w:r w:rsidR="00DA63D4">
        <w:rPr>
          <w:rFonts w:ascii="Times New Roman" w:hAnsi="Times New Roman" w:cs="Times New Roman"/>
          <w:i/>
          <w:iCs/>
          <w:lang w:val="en-GB"/>
        </w:rPr>
        <w:t>is</w:t>
      </w:r>
      <w:r w:rsidRPr="00060A1B">
        <w:rPr>
          <w:rFonts w:ascii="Times New Roman" w:hAnsi="Times New Roman" w:cs="Times New Roman"/>
          <w:i/>
          <w:iCs/>
          <w:lang w:val="en-GB"/>
        </w:rPr>
        <w:t xml:space="preserve"> subject to the applicable requirements of the Companies Act, the Court, the Code, the Panel, the FCA, the London Stock Exchange and the Registrar of Companies. </w:t>
      </w:r>
    </w:p>
    <w:p w14:paraId="275C8AA0" w14:textId="77777777" w:rsidR="00787FA1" w:rsidRPr="00A24728" w:rsidRDefault="00787FA1" w:rsidP="00787FA1">
      <w:pPr>
        <w:widowControl w:val="0"/>
        <w:autoSpaceDE w:val="0"/>
        <w:autoSpaceDN w:val="0"/>
        <w:adjustRightInd w:val="0"/>
        <w:spacing w:after="0" w:line="240" w:lineRule="auto"/>
        <w:rPr>
          <w:rFonts w:ascii="Times New Roman" w:hAnsi="Times New Roman" w:cs="Times New Roman"/>
          <w:i/>
          <w:iCs/>
        </w:rPr>
      </w:pPr>
    </w:p>
    <w:p w14:paraId="243EE81B" w14:textId="462B72F3" w:rsidR="00787FA1" w:rsidRPr="00A24728" w:rsidRDefault="00987D97" w:rsidP="00787FA1">
      <w:pPr>
        <w:widowControl w:val="0"/>
        <w:autoSpaceDE w:val="0"/>
        <w:autoSpaceDN w:val="0"/>
        <w:adjustRightInd w:val="0"/>
        <w:spacing w:after="0" w:line="240" w:lineRule="auto"/>
        <w:rPr>
          <w:rFonts w:ascii="Times New Roman" w:hAnsi="Times New Roman" w:cs="Times New Roman"/>
          <w:i/>
          <w:iCs/>
        </w:rPr>
      </w:pPr>
      <w:r w:rsidRPr="00A24728">
        <w:rPr>
          <w:rFonts w:ascii="Times New Roman" w:hAnsi="Times New Roman" w:cs="Times New Roman"/>
          <w:b/>
          <w:bCs/>
          <w:i/>
          <w:iCs/>
        </w:rPr>
        <w:t>Additional information for US investors</w:t>
      </w:r>
    </w:p>
    <w:p w14:paraId="1C5B0E55" w14:textId="77777777" w:rsidR="00787FA1" w:rsidRPr="00A24728" w:rsidRDefault="00787FA1" w:rsidP="00787FA1">
      <w:pPr>
        <w:widowControl w:val="0"/>
        <w:autoSpaceDE w:val="0"/>
        <w:autoSpaceDN w:val="0"/>
        <w:adjustRightInd w:val="0"/>
        <w:spacing w:after="0" w:line="240" w:lineRule="auto"/>
        <w:rPr>
          <w:rFonts w:ascii="Times New Roman" w:hAnsi="Times New Roman" w:cs="Times New Roman"/>
          <w:i/>
          <w:iCs/>
        </w:rPr>
      </w:pPr>
    </w:p>
    <w:p w14:paraId="6C418108" w14:textId="0F5DF434"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The Acquisition relates to the shares of an English company and is </w:t>
      </w:r>
      <w:r w:rsidR="006D1D41" w:rsidRPr="00060A1B">
        <w:rPr>
          <w:rFonts w:ascii="Times New Roman" w:hAnsi="Times New Roman" w:cs="Times New Roman"/>
          <w:i/>
          <w:iCs/>
          <w:lang w:val="en-GB"/>
        </w:rPr>
        <w:t>expected to be implemented</w:t>
      </w:r>
      <w:r w:rsidRPr="00060A1B">
        <w:rPr>
          <w:rFonts w:ascii="Times New Roman" w:hAnsi="Times New Roman" w:cs="Times New Roman"/>
          <w:i/>
          <w:iCs/>
          <w:lang w:val="en-GB"/>
        </w:rPr>
        <w:t xml:space="preserve"> by means of a scheme of arrangement provided for under</w:t>
      </w:r>
      <w:r w:rsidR="00987D97" w:rsidRPr="00060A1B">
        <w:rPr>
          <w:rFonts w:ascii="Times New Roman" w:hAnsi="Times New Roman" w:cs="Times New Roman"/>
          <w:i/>
          <w:iCs/>
          <w:lang w:val="en-GB"/>
        </w:rPr>
        <w:t xml:space="preserve"> the Companies Act</w:t>
      </w:r>
      <w:r w:rsidRPr="00060A1B">
        <w:rPr>
          <w:rFonts w:ascii="Times New Roman" w:hAnsi="Times New Roman" w:cs="Times New Roman"/>
          <w:i/>
          <w:iCs/>
          <w:lang w:val="en-GB"/>
        </w:rPr>
        <w:t xml:space="preserve">. A transaction </w:t>
      </w:r>
      <w:r w:rsidR="006D1D41" w:rsidRPr="00060A1B">
        <w:rPr>
          <w:rFonts w:ascii="Times New Roman" w:hAnsi="Times New Roman" w:cs="Times New Roman"/>
          <w:i/>
          <w:iCs/>
          <w:lang w:val="en-GB"/>
        </w:rPr>
        <w:t>implemented</w:t>
      </w:r>
      <w:r w:rsidRPr="00060A1B">
        <w:rPr>
          <w:rFonts w:ascii="Times New Roman" w:hAnsi="Times New Roman" w:cs="Times New Roman"/>
          <w:i/>
          <w:iCs/>
          <w:lang w:val="en-GB"/>
        </w:rPr>
        <w:t xml:space="preserve"> by means of a scheme of arrangement is not subject to the tender offer</w:t>
      </w:r>
      <w:r w:rsidR="006C3E74" w:rsidRPr="00060A1B">
        <w:rPr>
          <w:rFonts w:ascii="Times New Roman" w:hAnsi="Times New Roman" w:cs="Times New Roman"/>
          <w:i/>
          <w:iCs/>
          <w:lang w:val="en-GB"/>
        </w:rPr>
        <w:t xml:space="preserve"> rules</w:t>
      </w:r>
      <w:r w:rsidRPr="00060A1B">
        <w:rPr>
          <w:rFonts w:ascii="Times New Roman" w:hAnsi="Times New Roman" w:cs="Times New Roman"/>
          <w:i/>
          <w:iCs/>
          <w:lang w:val="en-GB"/>
        </w:rPr>
        <w:t xml:space="preserve"> or </w:t>
      </w:r>
      <w:r w:rsidR="006C3E74" w:rsidRPr="00060A1B">
        <w:rPr>
          <w:rFonts w:ascii="Times New Roman" w:hAnsi="Times New Roman" w:cs="Times New Roman"/>
          <w:i/>
          <w:iCs/>
          <w:lang w:val="en-GB"/>
        </w:rPr>
        <w:t xml:space="preserve">the </w:t>
      </w:r>
      <w:r w:rsidRPr="00060A1B">
        <w:rPr>
          <w:rFonts w:ascii="Times New Roman" w:hAnsi="Times New Roman" w:cs="Times New Roman"/>
          <w:i/>
          <w:iCs/>
          <w:lang w:val="en-GB"/>
        </w:rPr>
        <w:t xml:space="preserve">proxy solicitation rules under the US Exchange Act. </w:t>
      </w:r>
      <w:r w:rsidR="00987D97" w:rsidRPr="00060A1B">
        <w:rPr>
          <w:rFonts w:ascii="Times New Roman" w:hAnsi="Times New Roman" w:cs="Times New Roman"/>
          <w:i/>
          <w:iCs/>
          <w:lang w:val="en-GB"/>
        </w:rPr>
        <w:t>T</w:t>
      </w:r>
      <w:r w:rsidRPr="00060A1B">
        <w:rPr>
          <w:rFonts w:ascii="Times New Roman" w:hAnsi="Times New Roman" w:cs="Times New Roman"/>
          <w:i/>
          <w:iCs/>
          <w:lang w:val="en-GB"/>
        </w:rPr>
        <w:t>he Acquisition is subject to the disclosure requirements and practices</w:t>
      </w:r>
      <w:r w:rsidR="00987D97" w:rsidRPr="00060A1B">
        <w:rPr>
          <w:rFonts w:ascii="Times New Roman" w:hAnsi="Times New Roman" w:cs="Times New Roman"/>
          <w:i/>
          <w:iCs/>
          <w:lang w:val="en-GB"/>
        </w:rPr>
        <w:t xml:space="preserve"> applicable to a scheme of arrangement involving a target company in England whose shares are traded on the main market of the London Stock Exchange, which differ from the disclosure requirements of the US tender offer and proxy solicitation rules</w:t>
      </w:r>
      <w:r w:rsidRPr="00060A1B">
        <w:rPr>
          <w:rFonts w:ascii="Times New Roman" w:hAnsi="Times New Roman" w:cs="Times New Roman"/>
          <w:i/>
          <w:iCs/>
          <w:lang w:val="en-GB"/>
        </w:rPr>
        <w:t>.</w:t>
      </w:r>
    </w:p>
    <w:p w14:paraId="28000BEA"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24D5DB2A" w14:textId="2D0A221D"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The financial information</w:t>
      </w:r>
      <w:r w:rsidR="0096439F" w:rsidRPr="00060A1B">
        <w:rPr>
          <w:rFonts w:ascii="Times New Roman" w:hAnsi="Times New Roman" w:cs="Times New Roman"/>
          <w:i/>
          <w:iCs/>
          <w:lang w:val="en-GB"/>
        </w:rPr>
        <w:t xml:space="preserve"> with respect to DORE</w:t>
      </w:r>
      <w:r w:rsidRPr="00060A1B">
        <w:rPr>
          <w:rFonts w:ascii="Times New Roman" w:hAnsi="Times New Roman" w:cs="Times New Roman"/>
          <w:i/>
          <w:iCs/>
          <w:lang w:val="en-GB"/>
        </w:rPr>
        <w:t xml:space="preserve"> included in this </w:t>
      </w:r>
      <w:r w:rsidR="0096439F" w:rsidRPr="00060A1B">
        <w:rPr>
          <w:rFonts w:ascii="Times New Roman" w:hAnsi="Times New Roman" w:cs="Times New Roman"/>
          <w:i/>
          <w:iCs/>
          <w:lang w:val="en-GB"/>
        </w:rPr>
        <w:t xml:space="preserve">announcement </w:t>
      </w:r>
      <w:r w:rsidR="00D97E0C" w:rsidRPr="00060A1B">
        <w:rPr>
          <w:rFonts w:ascii="Times New Roman" w:hAnsi="Times New Roman" w:cs="Times New Roman"/>
          <w:i/>
          <w:iCs/>
          <w:lang w:val="en-GB"/>
        </w:rPr>
        <w:t xml:space="preserve">or </w:t>
      </w:r>
      <w:r w:rsidR="0096439F" w:rsidRPr="00060A1B">
        <w:rPr>
          <w:rFonts w:ascii="Times New Roman" w:hAnsi="Times New Roman" w:cs="Times New Roman"/>
          <w:i/>
          <w:iCs/>
          <w:lang w:val="en-GB"/>
        </w:rPr>
        <w:t>in the Scheme Document (or, if the Acquisition is implemented by way of a Takeover Offer, the Offer Document)</w:t>
      </w:r>
      <w:r w:rsidRPr="00060A1B">
        <w:rPr>
          <w:rFonts w:ascii="Times New Roman" w:hAnsi="Times New Roman" w:cs="Times New Roman"/>
          <w:i/>
          <w:iCs/>
          <w:lang w:val="en-GB"/>
        </w:rPr>
        <w:t xml:space="preserve"> has been </w:t>
      </w:r>
      <w:r w:rsidR="00D97E0C" w:rsidRPr="00060A1B">
        <w:rPr>
          <w:rFonts w:ascii="Times New Roman" w:hAnsi="Times New Roman" w:cs="Times New Roman"/>
          <w:i/>
          <w:iCs/>
          <w:lang w:val="en-GB"/>
        </w:rPr>
        <w:t xml:space="preserve">or will </w:t>
      </w:r>
      <w:r w:rsidR="006C3E74" w:rsidRPr="00060A1B">
        <w:rPr>
          <w:rFonts w:ascii="Times New Roman" w:hAnsi="Times New Roman" w:cs="Times New Roman"/>
          <w:i/>
          <w:iCs/>
          <w:lang w:val="en-GB"/>
        </w:rPr>
        <w:t xml:space="preserve">have </w:t>
      </w:r>
      <w:r w:rsidR="00D97E0C" w:rsidRPr="00060A1B">
        <w:rPr>
          <w:rFonts w:ascii="Times New Roman" w:hAnsi="Times New Roman" w:cs="Times New Roman"/>
          <w:i/>
          <w:iCs/>
          <w:lang w:val="en-GB"/>
        </w:rPr>
        <w:t>be</w:t>
      </w:r>
      <w:r w:rsidR="006C3E74" w:rsidRPr="00060A1B">
        <w:rPr>
          <w:rFonts w:ascii="Times New Roman" w:hAnsi="Times New Roman" w:cs="Times New Roman"/>
          <w:i/>
          <w:iCs/>
          <w:lang w:val="en-GB"/>
        </w:rPr>
        <w:t>en</w:t>
      </w:r>
      <w:r w:rsidR="00D97E0C" w:rsidRPr="00060A1B">
        <w:rPr>
          <w:rFonts w:ascii="Times New Roman" w:hAnsi="Times New Roman" w:cs="Times New Roman"/>
          <w:i/>
          <w:iCs/>
          <w:lang w:val="en-GB"/>
        </w:rPr>
        <w:t xml:space="preserve"> </w:t>
      </w:r>
      <w:r w:rsidRPr="00060A1B">
        <w:rPr>
          <w:rFonts w:ascii="Times New Roman" w:hAnsi="Times New Roman" w:cs="Times New Roman"/>
          <w:i/>
          <w:iCs/>
          <w:lang w:val="en-GB"/>
        </w:rPr>
        <w:t xml:space="preserve">prepared in accordance with accounting standards applicable in the </w:t>
      </w:r>
      <w:r w:rsidR="0096439F" w:rsidRPr="00060A1B">
        <w:rPr>
          <w:rFonts w:ascii="Times New Roman" w:hAnsi="Times New Roman" w:cs="Times New Roman"/>
          <w:i/>
          <w:iCs/>
          <w:lang w:val="en-GB"/>
        </w:rPr>
        <w:t>UK</w:t>
      </w:r>
      <w:r w:rsidRPr="00060A1B">
        <w:rPr>
          <w:rFonts w:ascii="Times New Roman" w:hAnsi="Times New Roman" w:cs="Times New Roman"/>
          <w:i/>
          <w:iCs/>
          <w:lang w:val="en-GB"/>
        </w:rPr>
        <w:t xml:space="preserve"> and may not </w:t>
      </w:r>
      <w:r w:rsidR="0096439F" w:rsidRPr="00060A1B">
        <w:rPr>
          <w:rFonts w:ascii="Times New Roman" w:hAnsi="Times New Roman" w:cs="Times New Roman"/>
          <w:i/>
          <w:iCs/>
          <w:lang w:val="en-GB"/>
        </w:rPr>
        <w:t xml:space="preserve">therefore </w:t>
      </w:r>
      <w:r w:rsidRPr="00060A1B">
        <w:rPr>
          <w:rFonts w:ascii="Times New Roman" w:hAnsi="Times New Roman" w:cs="Times New Roman"/>
          <w:i/>
          <w:iCs/>
          <w:lang w:val="en-GB"/>
        </w:rPr>
        <w:t>be comparable to the financial information of US companies or companies whose financial statements are prepared in accordance with generally accepted accounting principles in the</w:t>
      </w:r>
      <w:r w:rsidR="0096439F" w:rsidRPr="00060A1B">
        <w:rPr>
          <w:rFonts w:ascii="Times New Roman" w:hAnsi="Times New Roman" w:cs="Times New Roman"/>
          <w:i/>
          <w:iCs/>
          <w:lang w:val="en-GB"/>
        </w:rPr>
        <w:t xml:space="preserve"> US. Generally accepted accounting principles in the US differ in certain significant respects from accounting standards applicable in the UK</w:t>
      </w:r>
      <w:r w:rsidRPr="00060A1B">
        <w:rPr>
          <w:rFonts w:ascii="Times New Roman" w:hAnsi="Times New Roman" w:cs="Times New Roman"/>
          <w:i/>
          <w:iCs/>
          <w:lang w:val="en-GB"/>
        </w:rPr>
        <w:t>.</w:t>
      </w:r>
    </w:p>
    <w:p w14:paraId="3B4594DA"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776C4AAE" w14:textId="67D5B695"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 xml:space="preserve">If, in the future, Bidco exercises its right to implement the Acquisition by </w:t>
      </w:r>
      <w:r w:rsidR="0096439F" w:rsidRPr="00060A1B">
        <w:rPr>
          <w:rFonts w:ascii="Times New Roman" w:hAnsi="Times New Roman" w:cs="Times New Roman"/>
          <w:i/>
          <w:iCs/>
          <w:lang w:val="en-GB"/>
        </w:rPr>
        <w:t xml:space="preserve">way </w:t>
      </w:r>
      <w:r w:rsidRPr="00060A1B">
        <w:rPr>
          <w:rFonts w:ascii="Times New Roman" w:hAnsi="Times New Roman" w:cs="Times New Roman"/>
          <w:i/>
          <w:iCs/>
          <w:lang w:val="en-GB"/>
        </w:rPr>
        <w:t>of a Takeover Offer</w:t>
      </w:r>
      <w:r w:rsidR="0052030D" w:rsidRPr="00A24728">
        <w:rPr>
          <w:rFonts w:ascii="Times New Roman" w:hAnsi="Times New Roman" w:cs="Times New Roman"/>
          <w:i/>
          <w:iCs/>
          <w:lang w:val="en-GB"/>
        </w:rPr>
        <w:t xml:space="preserve"> </w:t>
      </w:r>
      <w:r w:rsidR="0096439F" w:rsidRPr="00A24728">
        <w:rPr>
          <w:rFonts w:ascii="Times New Roman" w:hAnsi="Times New Roman" w:cs="Times New Roman"/>
          <w:i/>
          <w:iCs/>
          <w:lang w:val="en-GB"/>
        </w:rPr>
        <w:t>and determines to extend the Takeover Offer into the US, the Acquisition will be made in compliance with applicable US laws and regulations, including Section 14(e) of the US Exchange Act and Regulation 14E thereunder</w:t>
      </w:r>
      <w:r w:rsidRPr="00060A1B">
        <w:rPr>
          <w:rFonts w:ascii="Times New Roman" w:hAnsi="Times New Roman" w:cs="Times New Roman"/>
          <w:i/>
          <w:iCs/>
          <w:lang w:val="en-GB"/>
        </w:rPr>
        <w:t>.</w:t>
      </w:r>
    </w:p>
    <w:p w14:paraId="53FDD51C" w14:textId="77777777" w:rsidR="0096439F" w:rsidRPr="00060A1B"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18C92F8B" w14:textId="0AB4C532" w:rsidR="0096439F" w:rsidRPr="00A24728"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The receipt of cash pursuant to the Acquisition by US DORE Shareholders as consideration for the transfer of DORE Shares pursuant to the Scheme may be a taxable transaction for US federal income tax purposes and under applicable US state and local, as well as foreign and other, tax laws. Each DORE Shareholder (including each US DORE Shareholder) is urged to consult their own independent professional adviser immediately regarding the legal and tax consequences of the Acquisition applicable to them.</w:t>
      </w:r>
    </w:p>
    <w:p w14:paraId="7931A289" w14:textId="77777777" w:rsidR="0096439F" w:rsidRPr="00A24728"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00356712" w14:textId="77777777" w:rsidR="0096439F" w:rsidRPr="00A24728"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Neither the SEC nor any US state securities commission has approved or disapproved or passed judgment upon the fairness or the merits of the Acquisition or determined if this announcement is adequate, accurate or complete. Any representation to the contrary is a criminal offence in the US.</w:t>
      </w:r>
    </w:p>
    <w:p w14:paraId="1BBFD66A" w14:textId="77777777" w:rsidR="0096439F" w:rsidRPr="00A24728"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29914ED1" w14:textId="77777777" w:rsidR="0096439F" w:rsidRPr="00A24728"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Each of DORE and Bidco is incorporated under the laws of England and Wales. In addition, some or all of their respective officers and directors reside outside the US, and some or all of their respective assets are or may be located in jurisdictions outside the US. Therefore, investors may have difficulty effecting service of process within the US upon those persons or recovering against DORE or Bidco or their respective officers or directors on judgments of US courts, including judgments based upon the civil liability provisions of US federal securities laws. Further, it may be difficult to compel a non-US company and its affiliates to subject themselves to a US court's judgment. It may not be possible to sue DORE or Bidco or their respective officers or directors in a non-US court for violations of US securities laws.</w:t>
      </w:r>
    </w:p>
    <w:p w14:paraId="1C969B10" w14:textId="77777777" w:rsidR="0096439F" w:rsidRPr="00060A1B"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3089A389" w14:textId="52B111B2"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In accordance with normal United Kingdom practice and pursuant to Rule 14e-5(b) of the US Exchange Act</w:t>
      </w:r>
      <w:r w:rsidR="006C3E74" w:rsidRPr="00060A1B">
        <w:rPr>
          <w:rFonts w:ascii="Times New Roman" w:hAnsi="Times New Roman" w:cs="Times New Roman"/>
          <w:i/>
          <w:iCs/>
          <w:lang w:val="en-GB"/>
        </w:rPr>
        <w:t>,</w:t>
      </w:r>
      <w:r w:rsidRPr="00060A1B">
        <w:rPr>
          <w:rFonts w:ascii="Times New Roman" w:hAnsi="Times New Roman" w:cs="Times New Roman"/>
          <w:i/>
          <w:iCs/>
          <w:lang w:val="en-GB"/>
        </w:rPr>
        <w:t xml:space="preserve"> to the extent applicable, Bidco</w:t>
      </w:r>
      <w:r w:rsidR="0096439F" w:rsidRPr="00060A1B">
        <w:rPr>
          <w:rFonts w:ascii="Times New Roman" w:hAnsi="Times New Roman" w:cs="Times New Roman"/>
          <w:i/>
          <w:iCs/>
          <w:lang w:val="en-GB"/>
        </w:rPr>
        <w:t xml:space="preserve"> or its</w:t>
      </w:r>
      <w:r w:rsidR="006C3E74" w:rsidRPr="00060A1B">
        <w:rPr>
          <w:rFonts w:ascii="Times New Roman" w:hAnsi="Times New Roman" w:cs="Times New Roman"/>
          <w:i/>
          <w:iCs/>
          <w:lang w:val="en-GB"/>
        </w:rPr>
        <w:t xml:space="preserve"> </w:t>
      </w:r>
      <w:r w:rsidRPr="00060A1B">
        <w:rPr>
          <w:rFonts w:ascii="Times New Roman" w:hAnsi="Times New Roman" w:cs="Times New Roman"/>
          <w:i/>
          <w:iCs/>
          <w:lang w:val="en-GB"/>
        </w:rPr>
        <w:t xml:space="preserve">nominees or brokers (acting as agents) may from time to time make certain purchases of, or arrangements to purchase, DORE Shares outside of the US, other than pursuant to the Acquisition, until the date on which the Acquisition becomes </w:t>
      </w:r>
      <w:r w:rsidR="00D97E0C" w:rsidRPr="00060A1B">
        <w:rPr>
          <w:rFonts w:ascii="Times New Roman" w:hAnsi="Times New Roman" w:cs="Times New Roman"/>
          <w:i/>
          <w:iCs/>
          <w:lang w:val="en-GB"/>
        </w:rPr>
        <w:t>E</w:t>
      </w:r>
      <w:r w:rsidRPr="00060A1B">
        <w:rPr>
          <w:rFonts w:ascii="Times New Roman" w:hAnsi="Times New Roman" w:cs="Times New Roman"/>
          <w:i/>
          <w:iCs/>
          <w:lang w:val="en-GB"/>
        </w:rPr>
        <w:t>ffective, lapses or is otherwise withdrawn</w:t>
      </w:r>
      <w:r w:rsidR="0096439F" w:rsidRPr="00060A1B">
        <w:rPr>
          <w:rFonts w:ascii="Times New Roman" w:hAnsi="Times New Roman" w:cs="Times New Roman"/>
          <w:i/>
          <w:iCs/>
          <w:lang w:val="en-GB"/>
        </w:rPr>
        <w:t xml:space="preserve"> in compliance with applicable law, including the US Exchange Act</w:t>
      </w:r>
      <w:r w:rsidRPr="00060A1B">
        <w:rPr>
          <w:rFonts w:ascii="Times New Roman" w:hAnsi="Times New Roman" w:cs="Times New Roman"/>
          <w:i/>
          <w:iCs/>
          <w:lang w:val="en-GB"/>
        </w:rPr>
        <w:t>. These purchases may occur either in the open market at prevailing prices or in private transactions at negotiated prices. Any information about such purchases or arrangements to purchase will be disclosed as required in the United Kingdom, will be reported</w:t>
      </w:r>
      <w:r w:rsidR="0096439F" w:rsidRPr="00060A1B">
        <w:rPr>
          <w:rFonts w:ascii="Times New Roman" w:hAnsi="Times New Roman" w:cs="Times New Roman"/>
          <w:i/>
          <w:iCs/>
          <w:lang w:val="en-GB"/>
        </w:rPr>
        <w:t xml:space="preserve"> via</w:t>
      </w:r>
      <w:r w:rsidRPr="00060A1B">
        <w:rPr>
          <w:rFonts w:ascii="Times New Roman" w:hAnsi="Times New Roman" w:cs="Times New Roman"/>
          <w:i/>
          <w:iCs/>
          <w:lang w:val="en-GB"/>
        </w:rPr>
        <w:t xml:space="preserve"> a Regulatory Information Service and will be available on the London Stock Exchange website at www.londonstockexchange.com.</w:t>
      </w:r>
    </w:p>
    <w:p w14:paraId="69E60FCF" w14:textId="77777777" w:rsidR="0096439F" w:rsidRPr="00060A1B"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6F573909" w14:textId="1ABAFD33" w:rsidR="0096439F" w:rsidRPr="00A24728" w:rsidRDefault="0096439F"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 xml:space="preserve">Further details in relation to US investors in DORE </w:t>
      </w:r>
      <w:r w:rsidR="00DA63D4">
        <w:rPr>
          <w:rFonts w:ascii="Times New Roman" w:hAnsi="Times New Roman" w:cs="Times New Roman"/>
          <w:i/>
          <w:iCs/>
          <w:lang w:val="en-GB"/>
        </w:rPr>
        <w:t>are</w:t>
      </w:r>
      <w:r w:rsidRPr="00A24728">
        <w:rPr>
          <w:rFonts w:ascii="Times New Roman" w:hAnsi="Times New Roman" w:cs="Times New Roman"/>
          <w:i/>
          <w:iCs/>
          <w:lang w:val="en-GB"/>
        </w:rPr>
        <w:t xml:space="preserve"> contained in the Scheme Document.</w:t>
      </w:r>
    </w:p>
    <w:p w14:paraId="4961FF88" w14:textId="77777777" w:rsidR="00787FA1" w:rsidRPr="00A24728" w:rsidRDefault="00787FA1" w:rsidP="00787FA1">
      <w:pPr>
        <w:widowControl w:val="0"/>
        <w:overflowPunct w:val="0"/>
        <w:autoSpaceDE w:val="0"/>
        <w:autoSpaceDN w:val="0"/>
        <w:adjustRightInd w:val="0"/>
        <w:spacing w:after="0" w:line="240" w:lineRule="auto"/>
        <w:ind w:right="20"/>
        <w:jc w:val="both"/>
        <w:rPr>
          <w:rFonts w:ascii="Times New Roman" w:hAnsi="Times New Roman" w:cs="Times New Roman"/>
          <w:i/>
          <w:iCs/>
        </w:rPr>
      </w:pPr>
      <w:bookmarkStart w:id="2" w:name="page6"/>
      <w:bookmarkEnd w:id="2"/>
    </w:p>
    <w:p w14:paraId="6D3F3A0F" w14:textId="77777777" w:rsidR="00787FA1" w:rsidRPr="00A24728" w:rsidRDefault="00787FA1" w:rsidP="00787FA1">
      <w:pPr>
        <w:widowControl w:val="0"/>
        <w:autoSpaceDE w:val="0"/>
        <w:autoSpaceDN w:val="0"/>
        <w:adjustRightInd w:val="0"/>
        <w:spacing w:after="0" w:line="240" w:lineRule="auto"/>
        <w:rPr>
          <w:rFonts w:ascii="Times New Roman" w:hAnsi="Times New Roman" w:cs="Times New Roman"/>
          <w:i/>
          <w:iCs/>
        </w:rPr>
      </w:pPr>
      <w:bookmarkStart w:id="3" w:name="page7"/>
      <w:bookmarkEnd w:id="3"/>
      <w:r w:rsidRPr="00A24728">
        <w:rPr>
          <w:rFonts w:ascii="Times New Roman" w:hAnsi="Times New Roman" w:cs="Times New Roman"/>
          <w:b/>
          <w:bCs/>
          <w:i/>
          <w:iCs/>
        </w:rPr>
        <w:t>Disclosure requirements of the Code</w:t>
      </w:r>
    </w:p>
    <w:p w14:paraId="2DA33ED9" w14:textId="77777777" w:rsidR="00787FA1" w:rsidRPr="00A24728" w:rsidRDefault="00787FA1" w:rsidP="00787FA1">
      <w:pPr>
        <w:widowControl w:val="0"/>
        <w:autoSpaceDE w:val="0"/>
        <w:autoSpaceDN w:val="0"/>
        <w:adjustRightInd w:val="0"/>
        <w:spacing w:after="0" w:line="240" w:lineRule="auto"/>
        <w:rPr>
          <w:rFonts w:ascii="Times New Roman" w:hAnsi="Times New Roman" w:cs="Times New Roman"/>
          <w:i/>
          <w:iCs/>
        </w:rPr>
      </w:pPr>
    </w:p>
    <w:p w14:paraId="6AAEC5CC"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Under Rule 8.3(a) of the Code, any person who is interested in one per cent.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(i)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4DE72170"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36FAA8F8"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Under Rule 8.3(b) of the Code, any person who is, or becomes, interested in one per cent.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(i)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14:paraId="4930FF6B"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77C39717"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25884ACA"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78A9DD8E"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Opening Position Disclosures must also be made by the offeree company and by any offeror and Dealing Disclosures must also be made by the offeree company, by any offeror and by any persons acting in concert with any of them (see Rules 8.1, 8.2 and 8.4).</w:t>
      </w:r>
    </w:p>
    <w:p w14:paraId="27A576F1"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11D0B3D3" w14:textId="77777777" w:rsidR="00787FA1" w:rsidRPr="00060A1B" w:rsidRDefault="00787FA1"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Details of the offeree and offeror companies in respect of whose relevant securities Opening Position Disclosures and Dealing Disclosures must be made can be found in the Disclosure Table on the Panel’s website at www.thetakeoverpanel.org.uk,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0E8F68F1" w14:textId="77777777" w:rsidR="00787FA1" w:rsidRPr="00A24728" w:rsidRDefault="00787FA1" w:rsidP="00787FA1">
      <w:pPr>
        <w:widowControl w:val="0"/>
        <w:autoSpaceDE w:val="0"/>
        <w:autoSpaceDN w:val="0"/>
        <w:adjustRightInd w:val="0"/>
        <w:spacing w:after="0" w:line="240" w:lineRule="auto"/>
        <w:rPr>
          <w:rFonts w:ascii="Times New Roman" w:hAnsi="Times New Roman" w:cs="Times New Roman"/>
          <w:i/>
          <w:iCs/>
        </w:rPr>
      </w:pPr>
    </w:p>
    <w:p w14:paraId="2EB99D60" w14:textId="1A4B8274" w:rsidR="00787FA1" w:rsidRPr="00A24728" w:rsidRDefault="00787FA1" w:rsidP="00787FA1">
      <w:pPr>
        <w:widowControl w:val="0"/>
        <w:autoSpaceDE w:val="0"/>
        <w:autoSpaceDN w:val="0"/>
        <w:adjustRightInd w:val="0"/>
        <w:spacing w:after="0" w:line="240" w:lineRule="auto"/>
        <w:rPr>
          <w:rFonts w:ascii="Times New Roman" w:hAnsi="Times New Roman" w:cs="Times New Roman"/>
          <w:b/>
          <w:bCs/>
          <w:i/>
          <w:iCs/>
        </w:rPr>
      </w:pPr>
      <w:r w:rsidRPr="00A24728">
        <w:rPr>
          <w:rFonts w:ascii="Times New Roman" w:hAnsi="Times New Roman" w:cs="Times New Roman"/>
          <w:b/>
          <w:bCs/>
          <w:i/>
          <w:iCs/>
        </w:rPr>
        <w:t>Publication on website</w:t>
      </w:r>
      <w:r w:rsidR="002C57CC" w:rsidRPr="00A24728">
        <w:rPr>
          <w:rFonts w:ascii="Times New Roman" w:hAnsi="Times New Roman" w:cs="Times New Roman"/>
          <w:b/>
          <w:bCs/>
          <w:i/>
          <w:iCs/>
        </w:rPr>
        <w:t xml:space="preserve">s </w:t>
      </w:r>
    </w:p>
    <w:p w14:paraId="54937CB4" w14:textId="77777777" w:rsidR="002C57CC" w:rsidRPr="00A24728" w:rsidRDefault="002C57CC" w:rsidP="00787FA1">
      <w:pPr>
        <w:widowControl w:val="0"/>
        <w:autoSpaceDE w:val="0"/>
        <w:autoSpaceDN w:val="0"/>
        <w:adjustRightInd w:val="0"/>
        <w:spacing w:after="0" w:line="240" w:lineRule="auto"/>
        <w:rPr>
          <w:rFonts w:ascii="Times New Roman" w:hAnsi="Times New Roman" w:cs="Times New Roman"/>
          <w:b/>
          <w:bCs/>
          <w:i/>
          <w:iCs/>
        </w:rPr>
      </w:pPr>
    </w:p>
    <w:p w14:paraId="7EC5EE88" w14:textId="4D4ED18B" w:rsidR="002C57CC" w:rsidRPr="00060A1B" w:rsidRDefault="002C57CC"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A copy of this announcement</w:t>
      </w:r>
      <w:r w:rsidR="00DA63D4">
        <w:rPr>
          <w:rFonts w:ascii="Times New Roman" w:hAnsi="Times New Roman" w:cs="Times New Roman"/>
          <w:i/>
          <w:iCs/>
          <w:lang w:val="en-GB"/>
        </w:rPr>
        <w:t xml:space="preserve"> (as well as</w:t>
      </w:r>
      <w:r w:rsidRPr="00060A1B">
        <w:rPr>
          <w:rFonts w:ascii="Times New Roman" w:hAnsi="Times New Roman" w:cs="Times New Roman"/>
          <w:i/>
          <w:iCs/>
          <w:lang w:val="en-GB"/>
        </w:rPr>
        <w:t xml:space="preserve"> the Scheme Document and the documents required to be published pursuant to Rule 26 of the Code</w:t>
      </w:r>
      <w:r w:rsidR="00DA63D4">
        <w:rPr>
          <w:rFonts w:ascii="Times New Roman" w:hAnsi="Times New Roman" w:cs="Times New Roman"/>
          <w:i/>
          <w:iCs/>
          <w:lang w:val="en-GB"/>
        </w:rPr>
        <w:t>)</w:t>
      </w:r>
      <w:r w:rsidRPr="00060A1B">
        <w:rPr>
          <w:rFonts w:ascii="Times New Roman" w:hAnsi="Times New Roman" w:cs="Times New Roman"/>
          <w:i/>
          <w:iCs/>
          <w:lang w:val="en-GB"/>
        </w:rPr>
        <w:t xml:space="preserve"> will be made available (subject to certain restrictions relating to persons resident in Restricted Jurisdictions), free of charge, on DORE's website at https://www.doretrust.com/announcement and on Bagnall's website at https://www.downing.co.uk/offer by no later than 12 noon (London time) on the first Business Day following the date of this announcement.</w:t>
      </w:r>
    </w:p>
    <w:p w14:paraId="0A5CC1E2" w14:textId="77777777" w:rsidR="002C57CC" w:rsidRPr="00060A1B" w:rsidRDefault="002C57CC"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2386B2ED" w14:textId="77777777" w:rsidR="002C57CC" w:rsidRPr="00060A1B" w:rsidRDefault="002C57CC"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060A1B">
        <w:rPr>
          <w:rFonts w:ascii="Times New Roman" w:hAnsi="Times New Roman" w:cs="Times New Roman"/>
          <w:i/>
          <w:iCs/>
          <w:lang w:val="en-GB"/>
        </w:rPr>
        <w:t>Neither the contents of these websites nor any website accessible from hyperlinks is incorporated into or forms part of this announcement.</w:t>
      </w:r>
    </w:p>
    <w:p w14:paraId="018AEDF1" w14:textId="77777777" w:rsidR="002C57CC" w:rsidRPr="00A24728" w:rsidRDefault="002C57CC" w:rsidP="002C57CC">
      <w:pPr>
        <w:widowControl w:val="0"/>
        <w:overflowPunct w:val="0"/>
        <w:autoSpaceDE w:val="0"/>
        <w:autoSpaceDN w:val="0"/>
        <w:adjustRightInd w:val="0"/>
        <w:spacing w:after="0" w:line="240" w:lineRule="auto"/>
        <w:ind w:right="20"/>
        <w:jc w:val="both"/>
        <w:rPr>
          <w:rFonts w:ascii="Times New Roman" w:hAnsi="Times New Roman" w:cs="Times New Roman"/>
          <w:i/>
          <w:iCs/>
          <w:sz w:val="20"/>
          <w:szCs w:val="20"/>
        </w:rPr>
      </w:pPr>
    </w:p>
    <w:p w14:paraId="49D6E0BC" w14:textId="77777777" w:rsidR="002C57CC" w:rsidRPr="00150B9A" w:rsidRDefault="002C57CC" w:rsidP="002C57CC">
      <w:pPr>
        <w:widowControl w:val="0"/>
        <w:overflowPunct w:val="0"/>
        <w:autoSpaceDE w:val="0"/>
        <w:autoSpaceDN w:val="0"/>
        <w:adjustRightInd w:val="0"/>
        <w:spacing w:after="0" w:line="240" w:lineRule="auto"/>
        <w:ind w:right="20"/>
        <w:jc w:val="both"/>
        <w:rPr>
          <w:rFonts w:ascii="Times New Roman" w:hAnsi="Times New Roman" w:cs="Times New Roman"/>
          <w:i/>
          <w:iCs/>
        </w:rPr>
      </w:pPr>
      <w:r w:rsidRPr="00150B9A">
        <w:rPr>
          <w:rFonts w:ascii="Times New Roman" w:hAnsi="Times New Roman" w:cs="Times New Roman"/>
          <w:b/>
          <w:bCs/>
          <w:i/>
          <w:iCs/>
        </w:rPr>
        <w:t>Requesting hard copy documents</w:t>
      </w:r>
    </w:p>
    <w:p w14:paraId="53787040" w14:textId="77777777" w:rsidR="002C57CC" w:rsidRPr="00A24728" w:rsidRDefault="002C57CC" w:rsidP="002C57CC">
      <w:pPr>
        <w:widowControl w:val="0"/>
        <w:overflowPunct w:val="0"/>
        <w:autoSpaceDE w:val="0"/>
        <w:autoSpaceDN w:val="0"/>
        <w:adjustRightInd w:val="0"/>
        <w:spacing w:after="0" w:line="240" w:lineRule="auto"/>
        <w:ind w:right="20"/>
        <w:jc w:val="both"/>
        <w:rPr>
          <w:rFonts w:ascii="Times New Roman" w:hAnsi="Times New Roman" w:cs="Times New Roman"/>
          <w:i/>
          <w:iCs/>
          <w:sz w:val="20"/>
          <w:szCs w:val="20"/>
        </w:rPr>
      </w:pPr>
    </w:p>
    <w:p w14:paraId="4E773864" w14:textId="77777777" w:rsidR="002C57CC" w:rsidRPr="00A24728" w:rsidRDefault="002C57CC"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In accordance with Rule 30.3 of the Code, DORE Shareholders and persons with information rights may request a hard copy of this announcement, free of charge, by contacting DORE's registrar, MUFG Corporate Markets (UK) Limited ("</w:t>
      </w:r>
      <w:r w:rsidRPr="00A24728">
        <w:rPr>
          <w:rFonts w:ascii="Times New Roman" w:hAnsi="Times New Roman" w:cs="Times New Roman"/>
          <w:b/>
          <w:bCs/>
          <w:i/>
          <w:iCs/>
          <w:lang w:val="en-GB"/>
        </w:rPr>
        <w:t>MUFG Corporate Markets</w:t>
      </w:r>
      <w:r w:rsidRPr="00A24728">
        <w:rPr>
          <w:rFonts w:ascii="Times New Roman" w:hAnsi="Times New Roman" w:cs="Times New Roman"/>
          <w:i/>
          <w:iCs/>
          <w:lang w:val="en-GB"/>
        </w:rPr>
        <w:t>") in accordance with the procedure set out below. DORE Shareholders and persons with information rights may also request that all future documents, announcements and information to be sent to them in relation to the Acquisition be sent in hard copy form. For persons who have received a copy of this announcement in electronic form or via a website notification, a hard copy of this announcement will not be sent to you unless you have previously notified DORE's registrar, MUFG Corporate Markets, that you wish to receive all documents in hard copy form or unless requested in accordance with the procedure set out below.</w:t>
      </w:r>
    </w:p>
    <w:p w14:paraId="4EBB38CE" w14:textId="77777777" w:rsidR="002C57CC" w:rsidRPr="00A24728" w:rsidRDefault="002C57CC"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7F7F26ED" w14:textId="77777777" w:rsidR="002C57CC" w:rsidRPr="00A24728" w:rsidRDefault="002C57CC"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r w:rsidRPr="00A24728">
        <w:rPr>
          <w:rFonts w:ascii="Times New Roman" w:hAnsi="Times New Roman" w:cs="Times New Roman"/>
          <w:i/>
          <w:iCs/>
          <w:lang w:val="en-GB"/>
        </w:rPr>
        <w:t>If calling from within the United Kingdom, you should contact MUFG Corporate Markets on 0371 664 0300, or if calling from outside the United Kingdom, you should call +44 (0) 371 664 0300 or by submitting a request in writing by post to MUFG Corporate Markets, Central Square, 29 Wellington Street, Leeds LS1 4DL or by email to shareholderenquiries@cm.mpms.mufg.com. Calls are charged at the standard geographic rate and will vary by provider. Calls from outside the United Kingdom will be charged at the applicable international rate. Lines are open between 09:00 -17:30, Monday to Friday excluding public holidays in England and Wales.</w:t>
      </w:r>
    </w:p>
    <w:p w14:paraId="2DBF4C11" w14:textId="77777777" w:rsidR="004679DE" w:rsidRPr="00A24728" w:rsidRDefault="004679DE" w:rsidP="00060A1B">
      <w:pPr>
        <w:widowControl w:val="0"/>
        <w:overflowPunct w:val="0"/>
        <w:autoSpaceDE w:val="0"/>
        <w:autoSpaceDN w:val="0"/>
        <w:adjustRightInd w:val="0"/>
        <w:spacing w:after="0" w:line="261" w:lineRule="auto"/>
        <w:jc w:val="both"/>
        <w:rPr>
          <w:rFonts w:ascii="Times New Roman" w:hAnsi="Times New Roman" w:cs="Times New Roman"/>
          <w:i/>
          <w:iCs/>
          <w:lang w:val="en-GB"/>
        </w:rPr>
      </w:pPr>
    </w:p>
    <w:p w14:paraId="2F12D44B" w14:textId="77777777" w:rsidR="004679DE" w:rsidRPr="00150B9A" w:rsidRDefault="004679DE" w:rsidP="004679DE">
      <w:pPr>
        <w:widowControl w:val="0"/>
        <w:autoSpaceDE w:val="0"/>
        <w:autoSpaceDN w:val="0"/>
        <w:adjustRightInd w:val="0"/>
        <w:spacing w:after="0" w:line="240" w:lineRule="auto"/>
        <w:jc w:val="both"/>
        <w:rPr>
          <w:rFonts w:ascii="Times New Roman" w:hAnsi="Times New Roman" w:cs="Times New Roman"/>
          <w:b/>
          <w:bCs/>
          <w:i/>
          <w:iCs/>
          <w:lang w:val="en-GB"/>
        </w:rPr>
      </w:pPr>
      <w:r w:rsidRPr="00150B9A">
        <w:rPr>
          <w:rFonts w:ascii="Times New Roman" w:hAnsi="Times New Roman" w:cs="Times New Roman"/>
          <w:b/>
          <w:bCs/>
          <w:i/>
          <w:iCs/>
          <w:lang w:val="en-GB"/>
        </w:rPr>
        <w:t>Rounding</w:t>
      </w:r>
    </w:p>
    <w:p w14:paraId="00671DF0" w14:textId="77777777" w:rsidR="004679DE" w:rsidRPr="00150B9A" w:rsidRDefault="004679DE" w:rsidP="004679DE">
      <w:pPr>
        <w:widowControl w:val="0"/>
        <w:autoSpaceDE w:val="0"/>
        <w:autoSpaceDN w:val="0"/>
        <w:adjustRightInd w:val="0"/>
        <w:spacing w:after="0" w:line="240" w:lineRule="auto"/>
        <w:jc w:val="both"/>
        <w:rPr>
          <w:rFonts w:ascii="Times New Roman" w:hAnsi="Times New Roman" w:cs="Times New Roman"/>
          <w:i/>
          <w:iCs/>
          <w:lang w:val="en-GB"/>
        </w:rPr>
      </w:pPr>
    </w:p>
    <w:p w14:paraId="0EF427C1" w14:textId="77777777" w:rsidR="004679DE" w:rsidRPr="00150B9A" w:rsidRDefault="004679DE" w:rsidP="004679DE">
      <w:pPr>
        <w:widowControl w:val="0"/>
        <w:autoSpaceDE w:val="0"/>
        <w:autoSpaceDN w:val="0"/>
        <w:adjustRightInd w:val="0"/>
        <w:spacing w:after="0" w:line="240" w:lineRule="auto"/>
        <w:jc w:val="both"/>
        <w:rPr>
          <w:rFonts w:ascii="Times New Roman" w:hAnsi="Times New Roman" w:cs="Times New Roman"/>
          <w:i/>
          <w:iCs/>
          <w:lang w:val="en-GB"/>
        </w:rPr>
      </w:pPr>
      <w:r w:rsidRPr="00150B9A">
        <w:rPr>
          <w:rFonts w:ascii="Times New Roman" w:hAnsi="Times New Roman" w:cs="Times New Roman"/>
          <w:i/>
          <w:iCs/>
          <w:lang w:val="en-GB"/>
        </w:rPr>
        <w:t>Certain figures included in this announcement and the Scheme Document have been subjected to rounding adjustments. Accordingly, figures shown for the same category presented in different tables may vary slightly and figures shown as totals in certain tables may not be an arithmetic aggregation of the figures that precede them.</w:t>
      </w:r>
    </w:p>
    <w:p w14:paraId="1D219A12" w14:textId="77777777" w:rsidR="002C57CC" w:rsidRPr="00A24728" w:rsidRDefault="002C57CC" w:rsidP="00787FA1">
      <w:pPr>
        <w:widowControl w:val="0"/>
        <w:autoSpaceDE w:val="0"/>
        <w:autoSpaceDN w:val="0"/>
        <w:adjustRightInd w:val="0"/>
        <w:spacing w:after="0" w:line="240" w:lineRule="auto"/>
        <w:rPr>
          <w:rFonts w:ascii="Times New Roman" w:hAnsi="Times New Roman" w:cs="Times New Roman"/>
          <w:i/>
          <w:iCs/>
        </w:rPr>
      </w:pPr>
    </w:p>
    <w:p w14:paraId="21D72BB7" w14:textId="77777777" w:rsidR="00787FA1" w:rsidRPr="00A24728" w:rsidRDefault="00787FA1" w:rsidP="00787FA1">
      <w:pPr>
        <w:widowControl w:val="0"/>
        <w:autoSpaceDE w:val="0"/>
        <w:autoSpaceDN w:val="0"/>
        <w:adjustRightInd w:val="0"/>
        <w:spacing w:after="0" w:line="240" w:lineRule="auto"/>
        <w:rPr>
          <w:rFonts w:ascii="Times New Roman" w:hAnsi="Times New Roman" w:cs="Times New Roman"/>
          <w:i/>
          <w:iCs/>
        </w:rPr>
      </w:pPr>
    </w:p>
    <w:p w14:paraId="1C7CED23" w14:textId="77777777" w:rsidR="00787FA1" w:rsidRPr="00A24728" w:rsidRDefault="00787FA1" w:rsidP="00787FA1">
      <w:pPr>
        <w:widowControl w:val="0"/>
        <w:overflowPunct w:val="0"/>
        <w:autoSpaceDE w:val="0"/>
        <w:autoSpaceDN w:val="0"/>
        <w:adjustRightInd w:val="0"/>
        <w:spacing w:after="0" w:line="240" w:lineRule="auto"/>
        <w:ind w:right="20"/>
        <w:jc w:val="both"/>
        <w:rPr>
          <w:rFonts w:ascii="Times New Roman" w:hAnsi="Times New Roman" w:cs="Times New Roman"/>
          <w:i/>
          <w:iCs/>
        </w:rPr>
      </w:pPr>
    </w:p>
    <w:p w14:paraId="32AC3911" w14:textId="77777777" w:rsidR="00C4573F" w:rsidRPr="00A24728" w:rsidRDefault="00C4573F" w:rsidP="00787FA1">
      <w:pPr>
        <w:rPr>
          <w:rFonts w:ascii="Times New Roman" w:hAnsi="Times New Roman" w:cs="Times New Roman"/>
          <w:i/>
          <w:iCs/>
        </w:rPr>
      </w:pPr>
      <w:bookmarkStart w:id="4" w:name="page9"/>
      <w:bookmarkEnd w:id="1"/>
      <w:bookmarkEnd w:id="4"/>
    </w:p>
    <w:sectPr w:rsidR="00C4573F" w:rsidRPr="00A24728" w:rsidSect="00BB71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EA5D" w14:textId="77777777" w:rsidR="00B307C2" w:rsidRDefault="00B307C2" w:rsidP="00320164">
      <w:pPr>
        <w:spacing w:after="0" w:line="240" w:lineRule="auto"/>
      </w:pPr>
      <w:r>
        <w:separator/>
      </w:r>
    </w:p>
  </w:endnote>
  <w:endnote w:type="continuationSeparator" w:id="0">
    <w:p w14:paraId="7BCD7511" w14:textId="77777777" w:rsidR="00B307C2" w:rsidRDefault="00B307C2" w:rsidP="0032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EC00" w14:textId="77777777" w:rsidR="00320164" w:rsidRDefault="0032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9269" w14:textId="77777777" w:rsidR="00320164" w:rsidRDefault="00320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592" w14:textId="77777777" w:rsidR="00320164" w:rsidRDefault="00320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668C" w14:textId="77777777" w:rsidR="00B307C2" w:rsidRDefault="00B307C2" w:rsidP="00320164">
      <w:pPr>
        <w:spacing w:after="0" w:line="240" w:lineRule="auto"/>
      </w:pPr>
      <w:r>
        <w:separator/>
      </w:r>
    </w:p>
  </w:footnote>
  <w:footnote w:type="continuationSeparator" w:id="0">
    <w:p w14:paraId="5B3FE843" w14:textId="77777777" w:rsidR="00B307C2" w:rsidRDefault="00B307C2" w:rsidP="00320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CC8A" w14:textId="77777777" w:rsidR="00320164" w:rsidRDefault="0032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DDAD" w14:textId="77777777" w:rsidR="00320164" w:rsidRDefault="0032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A4D7" w14:textId="77777777" w:rsidR="00320164" w:rsidRDefault="00320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4"/>
    <w:multiLevelType w:val="hybridMultilevel"/>
    <w:tmpl w:val="0000305E"/>
    <w:lvl w:ilvl="0" w:tplc="0000440D">
      <w:start w:val="1"/>
      <w:numFmt w:val="bullet"/>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547"/>
    <w:multiLevelType w:val="hybridMultilevel"/>
    <w:tmpl w:val="000054DE"/>
    <w:lvl w:ilvl="0" w:tplc="000039B3">
      <w:start w:val="1"/>
      <w:numFmt w:val="bullet"/>
      <w:lvlText w:val="3"/>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D12"/>
    <w:multiLevelType w:val="hybridMultilevel"/>
    <w:tmpl w:val="0000074D"/>
    <w:lvl w:ilvl="0" w:tplc="00004DC8">
      <w:start w:val="1"/>
      <w:numFmt w:val="bullet"/>
      <w:lvlText w:val="4"/>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91C"/>
    <w:multiLevelType w:val="hybridMultilevel"/>
    <w:tmpl w:val="B19ACEC8"/>
    <w:lvl w:ilvl="0" w:tplc="814A8E8A">
      <w:start w:val="1"/>
      <w:numFmt w:val="bullet"/>
      <w:lvlText w:val="2"/>
      <w:lvlJc w:val="left"/>
      <w:pPr>
        <w:tabs>
          <w:tab w:val="num" w:pos="720"/>
        </w:tabs>
        <w:ind w:left="72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443"/>
    <w:multiLevelType w:val="hybridMultilevel"/>
    <w:tmpl w:val="000066BB"/>
    <w:lvl w:ilvl="0" w:tplc="0000428B">
      <w:start w:val="1"/>
      <w:numFmt w:val="bullet"/>
      <w:lvlText w:val="6"/>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CD406C"/>
    <w:multiLevelType w:val="hybridMultilevel"/>
    <w:tmpl w:val="E6807B80"/>
    <w:lvl w:ilvl="0" w:tplc="3EC464B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42BB2"/>
    <w:multiLevelType w:val="hybridMultilevel"/>
    <w:tmpl w:val="3D3481B0"/>
    <w:lvl w:ilvl="0" w:tplc="07A21FB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6D0C69"/>
    <w:multiLevelType w:val="hybridMultilevel"/>
    <w:tmpl w:val="3BF0BC26"/>
    <w:lvl w:ilvl="0" w:tplc="2F30A7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E72D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FB3AA0"/>
    <w:multiLevelType w:val="hybridMultilevel"/>
    <w:tmpl w:val="966AD1B6"/>
    <w:lvl w:ilvl="0" w:tplc="F1585494">
      <w:start w:val="1"/>
      <w:numFmt w:val="decimal"/>
      <w:lvlText w:val="%1."/>
      <w:lvlJc w:val="left"/>
      <w:pPr>
        <w:ind w:left="795" w:hanging="435"/>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07156"/>
    <w:multiLevelType w:val="hybridMultilevel"/>
    <w:tmpl w:val="CC60FB92"/>
    <w:lvl w:ilvl="0" w:tplc="A558D3E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66548"/>
    <w:multiLevelType w:val="hybridMultilevel"/>
    <w:tmpl w:val="2BF49306"/>
    <w:lvl w:ilvl="0" w:tplc="EEE8FAE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3" w15:restartNumberingAfterBreak="0">
    <w:nsid w:val="63D66448"/>
    <w:multiLevelType w:val="hybridMultilevel"/>
    <w:tmpl w:val="DD4A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64B5D"/>
    <w:multiLevelType w:val="hybridMultilevel"/>
    <w:tmpl w:val="DDC0C07E"/>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778C02E2"/>
    <w:multiLevelType w:val="hybridMultilevel"/>
    <w:tmpl w:val="978C69C2"/>
    <w:lvl w:ilvl="0" w:tplc="9140DB0E">
      <w:start w:val="1"/>
      <w:numFmt w:val="decimal"/>
      <w:lvlText w:val="%1."/>
      <w:lvlJc w:val="left"/>
      <w:pPr>
        <w:ind w:left="795" w:hanging="435"/>
      </w:pPr>
      <w:rPr>
        <w:rFonts w:ascii="Arial" w:hAnsi="Arial" w:cs="Arial"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3632674">
    <w:abstractNumId w:val="10"/>
  </w:num>
  <w:num w:numId="2" w16cid:durableId="1827357636">
    <w:abstractNumId w:val="14"/>
  </w:num>
  <w:num w:numId="3" w16cid:durableId="1426153392">
    <w:abstractNumId w:val="9"/>
  </w:num>
  <w:num w:numId="4" w16cid:durableId="1034502044">
    <w:abstractNumId w:val="15"/>
  </w:num>
  <w:num w:numId="5" w16cid:durableId="1983148194">
    <w:abstractNumId w:val="12"/>
  </w:num>
  <w:num w:numId="6" w16cid:durableId="109588112">
    <w:abstractNumId w:val="0"/>
  </w:num>
  <w:num w:numId="7" w16cid:durableId="2017805272">
    <w:abstractNumId w:val="3"/>
  </w:num>
  <w:num w:numId="8" w16cid:durableId="1296331737">
    <w:abstractNumId w:val="1"/>
  </w:num>
  <w:num w:numId="9" w16cid:durableId="1169367451">
    <w:abstractNumId w:val="2"/>
  </w:num>
  <w:num w:numId="10" w16cid:durableId="136145209">
    <w:abstractNumId w:val="4"/>
  </w:num>
  <w:num w:numId="11" w16cid:durableId="1149706511">
    <w:abstractNumId w:val="13"/>
  </w:num>
  <w:num w:numId="12" w16cid:durableId="1459447047">
    <w:abstractNumId w:val="8"/>
  </w:num>
  <w:num w:numId="13" w16cid:durableId="327750670">
    <w:abstractNumId w:val="7"/>
  </w:num>
  <w:num w:numId="14" w16cid:durableId="2041854056">
    <w:abstractNumId w:val="5"/>
  </w:num>
  <w:num w:numId="15" w16cid:durableId="710151144">
    <w:abstractNumId w:val="11"/>
  </w:num>
  <w:num w:numId="16" w16cid:durableId="9798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62839"/>
    <w:rsid w:val="00000851"/>
    <w:rsid w:val="000356EA"/>
    <w:rsid w:val="000419E2"/>
    <w:rsid w:val="00060A1B"/>
    <w:rsid w:val="00060F9C"/>
    <w:rsid w:val="00062DD3"/>
    <w:rsid w:val="00091DE5"/>
    <w:rsid w:val="0009320D"/>
    <w:rsid w:val="00097144"/>
    <w:rsid w:val="000C0EC1"/>
    <w:rsid w:val="000E101D"/>
    <w:rsid w:val="00111332"/>
    <w:rsid w:val="001130BE"/>
    <w:rsid w:val="001211B0"/>
    <w:rsid w:val="00150B9A"/>
    <w:rsid w:val="001519B9"/>
    <w:rsid w:val="001804C0"/>
    <w:rsid w:val="0018548C"/>
    <w:rsid w:val="001D0914"/>
    <w:rsid w:val="001D2C8C"/>
    <w:rsid w:val="001F2CB5"/>
    <w:rsid w:val="001F6AF1"/>
    <w:rsid w:val="00220FF2"/>
    <w:rsid w:val="00253C74"/>
    <w:rsid w:val="00267BF7"/>
    <w:rsid w:val="00274545"/>
    <w:rsid w:val="0028534F"/>
    <w:rsid w:val="002866C8"/>
    <w:rsid w:val="00292E27"/>
    <w:rsid w:val="002A1DD2"/>
    <w:rsid w:val="002A4084"/>
    <w:rsid w:val="002C57CC"/>
    <w:rsid w:val="002E1493"/>
    <w:rsid w:val="002F3728"/>
    <w:rsid w:val="002F7391"/>
    <w:rsid w:val="00310031"/>
    <w:rsid w:val="003140EA"/>
    <w:rsid w:val="00320164"/>
    <w:rsid w:val="0033728A"/>
    <w:rsid w:val="00361744"/>
    <w:rsid w:val="00362AF4"/>
    <w:rsid w:val="00397314"/>
    <w:rsid w:val="003B3F8C"/>
    <w:rsid w:val="003B793A"/>
    <w:rsid w:val="003D3AC2"/>
    <w:rsid w:val="003D4EAA"/>
    <w:rsid w:val="003F5CB4"/>
    <w:rsid w:val="0040057B"/>
    <w:rsid w:val="00426D3C"/>
    <w:rsid w:val="004679DE"/>
    <w:rsid w:val="004750E0"/>
    <w:rsid w:val="004C3FFA"/>
    <w:rsid w:val="004E27D2"/>
    <w:rsid w:val="004E3459"/>
    <w:rsid w:val="004F0885"/>
    <w:rsid w:val="005153EB"/>
    <w:rsid w:val="0052030D"/>
    <w:rsid w:val="00533142"/>
    <w:rsid w:val="00562839"/>
    <w:rsid w:val="0057349F"/>
    <w:rsid w:val="00582ED3"/>
    <w:rsid w:val="005B5AC3"/>
    <w:rsid w:val="005C38CF"/>
    <w:rsid w:val="005C57C2"/>
    <w:rsid w:val="005C62AC"/>
    <w:rsid w:val="005E2756"/>
    <w:rsid w:val="00601B1F"/>
    <w:rsid w:val="00621AC5"/>
    <w:rsid w:val="00640391"/>
    <w:rsid w:val="0066089C"/>
    <w:rsid w:val="006651FC"/>
    <w:rsid w:val="00672E76"/>
    <w:rsid w:val="00675A6D"/>
    <w:rsid w:val="006A4BA2"/>
    <w:rsid w:val="006B4CE6"/>
    <w:rsid w:val="006B76DF"/>
    <w:rsid w:val="006C17BB"/>
    <w:rsid w:val="006C3E74"/>
    <w:rsid w:val="006D1D41"/>
    <w:rsid w:val="00725218"/>
    <w:rsid w:val="007723E4"/>
    <w:rsid w:val="0077528F"/>
    <w:rsid w:val="007835B4"/>
    <w:rsid w:val="00787FA1"/>
    <w:rsid w:val="007A1534"/>
    <w:rsid w:val="007A4D1A"/>
    <w:rsid w:val="007C3A62"/>
    <w:rsid w:val="007D0A4A"/>
    <w:rsid w:val="00801BF6"/>
    <w:rsid w:val="0080257C"/>
    <w:rsid w:val="00844310"/>
    <w:rsid w:val="008465A6"/>
    <w:rsid w:val="00856E8E"/>
    <w:rsid w:val="008613C5"/>
    <w:rsid w:val="008635DF"/>
    <w:rsid w:val="008772DC"/>
    <w:rsid w:val="008B052C"/>
    <w:rsid w:val="008B5DD1"/>
    <w:rsid w:val="008C1B05"/>
    <w:rsid w:val="008D15F4"/>
    <w:rsid w:val="008D1E15"/>
    <w:rsid w:val="008E505B"/>
    <w:rsid w:val="00911877"/>
    <w:rsid w:val="00941CA4"/>
    <w:rsid w:val="00955D67"/>
    <w:rsid w:val="0096439F"/>
    <w:rsid w:val="00976785"/>
    <w:rsid w:val="00976F08"/>
    <w:rsid w:val="00987D97"/>
    <w:rsid w:val="0099548E"/>
    <w:rsid w:val="00997B81"/>
    <w:rsid w:val="009B3BF3"/>
    <w:rsid w:val="009B7E1D"/>
    <w:rsid w:val="009D062A"/>
    <w:rsid w:val="009F2B86"/>
    <w:rsid w:val="009F7F41"/>
    <w:rsid w:val="00A07622"/>
    <w:rsid w:val="00A24728"/>
    <w:rsid w:val="00A379EB"/>
    <w:rsid w:val="00A943AB"/>
    <w:rsid w:val="00AC44BD"/>
    <w:rsid w:val="00AC5994"/>
    <w:rsid w:val="00AD03E3"/>
    <w:rsid w:val="00AD4C33"/>
    <w:rsid w:val="00AF3076"/>
    <w:rsid w:val="00B05911"/>
    <w:rsid w:val="00B13104"/>
    <w:rsid w:val="00B307C2"/>
    <w:rsid w:val="00B57238"/>
    <w:rsid w:val="00B66CD1"/>
    <w:rsid w:val="00B66F65"/>
    <w:rsid w:val="00B7771A"/>
    <w:rsid w:val="00B86485"/>
    <w:rsid w:val="00BB417E"/>
    <w:rsid w:val="00BB7169"/>
    <w:rsid w:val="00BC45A5"/>
    <w:rsid w:val="00BC4ECD"/>
    <w:rsid w:val="00BD747C"/>
    <w:rsid w:val="00C23B0C"/>
    <w:rsid w:val="00C33EED"/>
    <w:rsid w:val="00C41B3C"/>
    <w:rsid w:val="00C4573F"/>
    <w:rsid w:val="00CC7C07"/>
    <w:rsid w:val="00CD2C3D"/>
    <w:rsid w:val="00CD35E5"/>
    <w:rsid w:val="00CE70F8"/>
    <w:rsid w:val="00D02163"/>
    <w:rsid w:val="00D2099E"/>
    <w:rsid w:val="00D21159"/>
    <w:rsid w:val="00D41C48"/>
    <w:rsid w:val="00D57A75"/>
    <w:rsid w:val="00D76BB4"/>
    <w:rsid w:val="00D82875"/>
    <w:rsid w:val="00D8706F"/>
    <w:rsid w:val="00D90B1B"/>
    <w:rsid w:val="00D97E0C"/>
    <w:rsid w:val="00DA03A6"/>
    <w:rsid w:val="00DA63D4"/>
    <w:rsid w:val="00DE2F08"/>
    <w:rsid w:val="00DE33CB"/>
    <w:rsid w:val="00E177C2"/>
    <w:rsid w:val="00E25512"/>
    <w:rsid w:val="00E31BE0"/>
    <w:rsid w:val="00E333E6"/>
    <w:rsid w:val="00E40CAE"/>
    <w:rsid w:val="00E45EF7"/>
    <w:rsid w:val="00E62876"/>
    <w:rsid w:val="00E64775"/>
    <w:rsid w:val="00E74E9C"/>
    <w:rsid w:val="00ED0277"/>
    <w:rsid w:val="00EF7051"/>
    <w:rsid w:val="00F00A58"/>
    <w:rsid w:val="00F01708"/>
    <w:rsid w:val="00F0665D"/>
    <w:rsid w:val="00F2542F"/>
    <w:rsid w:val="00F278DC"/>
    <w:rsid w:val="00F53EE9"/>
    <w:rsid w:val="00F604DF"/>
    <w:rsid w:val="00F638DF"/>
    <w:rsid w:val="00F77E4C"/>
    <w:rsid w:val="00FB0C32"/>
    <w:rsid w:val="00FB3C91"/>
    <w:rsid w:val="00FD3062"/>
    <w:rsid w:val="00FF0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A4AB"/>
  <w15:chartTrackingRefBased/>
  <w15:docId w15:val="{1C9E8F4B-4113-4AD1-9F48-C97E8238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9"/>
    <w:rPr>
      <w:rFonts w:eastAsiaTheme="minorEastAsia"/>
      <w:kern w:val="0"/>
      <w:lang w:val="en-IN" w:eastAsia="en-IN"/>
      <w14:ligatures w14:val="none"/>
    </w:rPr>
  </w:style>
  <w:style w:type="paragraph" w:styleId="Heading1">
    <w:name w:val="heading 1"/>
    <w:basedOn w:val="Normal"/>
    <w:next w:val="Normal"/>
    <w:link w:val="Heading1Char"/>
    <w:uiPriority w:val="9"/>
    <w:qFormat/>
    <w:rsid w:val="003B793A"/>
    <w:pPr>
      <w:keepNext/>
      <w:keepLines/>
      <w:spacing w:before="240" w:after="0"/>
      <w:outlineLvl w:val="0"/>
    </w:pPr>
    <w:rPr>
      <w:rFonts w:asciiTheme="majorHAnsi" w:eastAsiaTheme="majorEastAsia" w:hAnsiTheme="majorHAnsi" w:cstheme="majorBidi"/>
      <w:color w:val="2ED66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3A"/>
    <w:rPr>
      <w:rFonts w:asciiTheme="majorHAnsi" w:eastAsiaTheme="majorEastAsia" w:hAnsiTheme="majorHAnsi" w:cstheme="majorBidi"/>
      <w:color w:val="2ED668" w:themeColor="accent1" w:themeShade="BF"/>
      <w:sz w:val="32"/>
      <w:szCs w:val="32"/>
    </w:rPr>
  </w:style>
  <w:style w:type="paragraph" w:customStyle="1" w:styleId="rf">
    <w:name w:val="rf"/>
    <w:basedOn w:val="Normal"/>
    <w:rsid w:val="00562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rg">
    <w:name w:val="rg"/>
    <w:basedOn w:val="Normal"/>
    <w:rsid w:val="00562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rh">
    <w:name w:val="rh"/>
    <w:basedOn w:val="Normal"/>
    <w:rsid w:val="00562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ri">
    <w:name w:val="ri"/>
    <w:basedOn w:val="Normal"/>
    <w:rsid w:val="00562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rj">
    <w:name w:val="rj"/>
    <w:basedOn w:val="Normal"/>
    <w:rsid w:val="00562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A1534"/>
    <w:rPr>
      <w:color w:val="14CA5E" w:themeColor="hyperlink"/>
      <w:u w:val="single"/>
    </w:rPr>
  </w:style>
  <w:style w:type="character" w:styleId="UnresolvedMention">
    <w:name w:val="Unresolved Mention"/>
    <w:basedOn w:val="DefaultParagraphFont"/>
    <w:uiPriority w:val="99"/>
    <w:semiHidden/>
    <w:unhideWhenUsed/>
    <w:rsid w:val="007A1534"/>
    <w:rPr>
      <w:color w:val="605E5C"/>
      <w:shd w:val="clear" w:color="auto" w:fill="E1DFDD"/>
    </w:rPr>
  </w:style>
  <w:style w:type="paragraph" w:styleId="ListParagraph">
    <w:name w:val="List Paragraph"/>
    <w:basedOn w:val="Normal"/>
    <w:uiPriority w:val="34"/>
    <w:qFormat/>
    <w:rsid w:val="00DA03A6"/>
    <w:pPr>
      <w:ind w:left="720"/>
      <w:contextualSpacing/>
    </w:pPr>
  </w:style>
  <w:style w:type="paragraph" w:customStyle="1" w:styleId="AONormal">
    <w:name w:val="AONormal"/>
    <w:rsid w:val="00A943AB"/>
    <w:pPr>
      <w:spacing w:after="0" w:line="260" w:lineRule="atLeast"/>
    </w:pPr>
    <w:rPr>
      <w:rFonts w:ascii="Times New Roman" w:hAnsi="Times New Roman" w:cs="Times New Roman"/>
      <w:kern w:val="0"/>
      <w14:ligatures w14:val="none"/>
    </w:rPr>
  </w:style>
  <w:style w:type="paragraph" w:customStyle="1" w:styleId="AODocTxt">
    <w:name w:val="AODocTxt"/>
    <w:basedOn w:val="Normal"/>
    <w:rsid w:val="00A943AB"/>
    <w:pPr>
      <w:spacing w:before="240" w:after="0" w:line="260" w:lineRule="atLeast"/>
      <w:jc w:val="both"/>
    </w:pPr>
    <w:rPr>
      <w:rFonts w:ascii="Times New Roman" w:eastAsiaTheme="minorHAnsi" w:hAnsi="Times New Roman" w:cs="Times New Roman"/>
      <w:lang w:val="en-GB" w:eastAsia="en-US"/>
    </w:rPr>
  </w:style>
  <w:style w:type="paragraph" w:customStyle="1" w:styleId="AOA">
    <w:name w:val="AO(A)"/>
    <w:basedOn w:val="Normal"/>
    <w:next w:val="AODocTxt"/>
    <w:rsid w:val="00A943AB"/>
    <w:pPr>
      <w:numPr>
        <w:numId w:val="5"/>
      </w:numPr>
      <w:spacing w:before="240" w:after="0" w:line="260" w:lineRule="atLeast"/>
      <w:jc w:val="both"/>
    </w:pPr>
    <w:rPr>
      <w:rFonts w:ascii="Times New Roman" w:eastAsiaTheme="minorHAnsi" w:hAnsi="Times New Roman" w:cs="Times New Roman"/>
      <w:lang w:val="en-GB" w:eastAsia="en-US"/>
    </w:rPr>
  </w:style>
  <w:style w:type="paragraph" w:styleId="NoSpacing">
    <w:name w:val="No Spacing"/>
    <w:link w:val="NoSpacingChar"/>
    <w:uiPriority w:val="1"/>
    <w:qFormat/>
    <w:rsid w:val="00A943AB"/>
    <w:pPr>
      <w:spacing w:after="0" w:line="240" w:lineRule="auto"/>
    </w:pPr>
    <w:rPr>
      <w:rFonts w:ascii="Times New Roman" w:hAnsi="Times New Roman" w:cs="Times New Roman"/>
      <w:kern w:val="0"/>
      <w14:ligatures w14:val="none"/>
    </w:rPr>
  </w:style>
  <w:style w:type="character" w:customStyle="1" w:styleId="NoSpacingChar">
    <w:name w:val="No Spacing Char"/>
    <w:basedOn w:val="DefaultParagraphFont"/>
    <w:link w:val="NoSpacing"/>
    <w:uiPriority w:val="1"/>
    <w:rsid w:val="00A943AB"/>
    <w:rPr>
      <w:rFonts w:ascii="Times New Roman" w:hAnsi="Times New Roman" w:cs="Times New Roman"/>
      <w:kern w:val="0"/>
      <w14:ligatures w14:val="none"/>
    </w:rPr>
  </w:style>
  <w:style w:type="paragraph" w:styleId="Revision">
    <w:name w:val="Revision"/>
    <w:hidden/>
    <w:uiPriority w:val="99"/>
    <w:semiHidden/>
    <w:rsid w:val="00A07622"/>
    <w:pPr>
      <w:spacing w:after="0" w:line="240" w:lineRule="auto"/>
    </w:pPr>
    <w:rPr>
      <w:rFonts w:eastAsiaTheme="minorEastAsia"/>
      <w:kern w:val="0"/>
      <w:lang w:val="en-IN" w:eastAsia="en-IN"/>
      <w14:ligatures w14:val="none"/>
    </w:rPr>
  </w:style>
  <w:style w:type="character" w:styleId="CommentReference">
    <w:name w:val="annotation reference"/>
    <w:basedOn w:val="DefaultParagraphFont"/>
    <w:uiPriority w:val="99"/>
    <w:semiHidden/>
    <w:unhideWhenUsed/>
    <w:rsid w:val="00E45EF7"/>
    <w:rPr>
      <w:sz w:val="16"/>
      <w:szCs w:val="16"/>
    </w:rPr>
  </w:style>
  <w:style w:type="paragraph" w:styleId="CommentText">
    <w:name w:val="annotation text"/>
    <w:basedOn w:val="Normal"/>
    <w:link w:val="CommentTextChar"/>
    <w:uiPriority w:val="99"/>
    <w:unhideWhenUsed/>
    <w:rsid w:val="00E45EF7"/>
    <w:pPr>
      <w:spacing w:line="240" w:lineRule="auto"/>
    </w:pPr>
    <w:rPr>
      <w:sz w:val="20"/>
      <w:szCs w:val="20"/>
    </w:rPr>
  </w:style>
  <w:style w:type="character" w:customStyle="1" w:styleId="CommentTextChar">
    <w:name w:val="Comment Text Char"/>
    <w:basedOn w:val="DefaultParagraphFont"/>
    <w:link w:val="CommentText"/>
    <w:uiPriority w:val="99"/>
    <w:rsid w:val="00E45EF7"/>
    <w:rPr>
      <w:rFonts w:eastAsiaTheme="minorEastAsia"/>
      <w:kern w:val="0"/>
      <w:sz w:val="20"/>
      <w:szCs w:val="20"/>
      <w:lang w:val="en-IN" w:eastAsia="en-IN"/>
      <w14:ligatures w14:val="none"/>
    </w:rPr>
  </w:style>
  <w:style w:type="paragraph" w:styleId="CommentSubject">
    <w:name w:val="annotation subject"/>
    <w:basedOn w:val="CommentText"/>
    <w:next w:val="CommentText"/>
    <w:link w:val="CommentSubjectChar"/>
    <w:uiPriority w:val="99"/>
    <w:semiHidden/>
    <w:unhideWhenUsed/>
    <w:rsid w:val="00E45EF7"/>
    <w:rPr>
      <w:b/>
      <w:bCs/>
    </w:rPr>
  </w:style>
  <w:style w:type="character" w:customStyle="1" w:styleId="CommentSubjectChar">
    <w:name w:val="Comment Subject Char"/>
    <w:basedOn w:val="CommentTextChar"/>
    <w:link w:val="CommentSubject"/>
    <w:uiPriority w:val="99"/>
    <w:semiHidden/>
    <w:rsid w:val="00E45EF7"/>
    <w:rPr>
      <w:rFonts w:eastAsiaTheme="minorEastAsia"/>
      <w:b/>
      <w:bCs/>
      <w:kern w:val="0"/>
      <w:sz w:val="20"/>
      <w:szCs w:val="20"/>
      <w:lang w:val="en-IN" w:eastAsia="en-IN"/>
      <w14:ligatures w14:val="none"/>
    </w:rPr>
  </w:style>
  <w:style w:type="paragraph" w:customStyle="1" w:styleId="BodyText1">
    <w:name w:val="Body Text 1"/>
    <w:basedOn w:val="Normal"/>
    <w:link w:val="BodyText1Char"/>
    <w:qFormat/>
    <w:rsid w:val="00856E8E"/>
    <w:pPr>
      <w:spacing w:after="240" w:line="240" w:lineRule="auto"/>
      <w:ind w:left="720"/>
      <w:jc w:val="both"/>
    </w:pPr>
    <w:rPr>
      <w:rFonts w:ascii="Times New Roman" w:eastAsia="SimSun" w:hAnsi="Times New Roman" w:cs="Simplified Arabic"/>
      <w:sz w:val="24"/>
      <w:szCs w:val="24"/>
      <w:lang w:val="en-GB" w:eastAsia="en-GB"/>
    </w:rPr>
  </w:style>
  <w:style w:type="character" w:customStyle="1" w:styleId="BodyText1Char">
    <w:name w:val="Body Text 1 Char"/>
    <w:basedOn w:val="DefaultParagraphFont"/>
    <w:link w:val="BodyText1"/>
    <w:rsid w:val="00856E8E"/>
    <w:rPr>
      <w:rFonts w:ascii="Times New Roman" w:eastAsia="SimSun" w:hAnsi="Times New Roman" w:cs="Simplified Arabic"/>
      <w:kern w:val="0"/>
      <w:sz w:val="24"/>
      <w:szCs w:val="24"/>
      <w:lang w:eastAsia="en-GB"/>
      <w14:ligatures w14:val="none"/>
    </w:rPr>
  </w:style>
  <w:style w:type="paragraph" w:styleId="Header">
    <w:name w:val="header"/>
    <w:basedOn w:val="Normal"/>
    <w:link w:val="HeaderChar"/>
    <w:uiPriority w:val="99"/>
    <w:unhideWhenUsed/>
    <w:rsid w:val="00320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164"/>
    <w:rPr>
      <w:rFonts w:eastAsiaTheme="minorEastAsia"/>
      <w:kern w:val="0"/>
      <w:lang w:val="en-IN" w:eastAsia="en-IN"/>
      <w14:ligatures w14:val="none"/>
    </w:rPr>
  </w:style>
  <w:style w:type="paragraph" w:styleId="Footer">
    <w:name w:val="footer"/>
    <w:basedOn w:val="Normal"/>
    <w:link w:val="FooterChar"/>
    <w:uiPriority w:val="99"/>
    <w:unhideWhenUsed/>
    <w:rsid w:val="00320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164"/>
    <w:rPr>
      <w:rFonts w:eastAsiaTheme="minorEastAsia"/>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294">
      <w:bodyDiv w:val="1"/>
      <w:marLeft w:val="0"/>
      <w:marRight w:val="0"/>
      <w:marTop w:val="0"/>
      <w:marBottom w:val="0"/>
      <w:divBdr>
        <w:top w:val="none" w:sz="0" w:space="0" w:color="auto"/>
        <w:left w:val="none" w:sz="0" w:space="0" w:color="auto"/>
        <w:bottom w:val="none" w:sz="0" w:space="0" w:color="auto"/>
        <w:right w:val="none" w:sz="0" w:space="0" w:color="auto"/>
      </w:divBdr>
    </w:div>
    <w:div w:id="152919222">
      <w:bodyDiv w:val="1"/>
      <w:marLeft w:val="0"/>
      <w:marRight w:val="0"/>
      <w:marTop w:val="0"/>
      <w:marBottom w:val="0"/>
      <w:divBdr>
        <w:top w:val="none" w:sz="0" w:space="0" w:color="auto"/>
        <w:left w:val="none" w:sz="0" w:space="0" w:color="auto"/>
        <w:bottom w:val="none" w:sz="0" w:space="0" w:color="auto"/>
        <w:right w:val="none" w:sz="0" w:space="0" w:color="auto"/>
      </w:divBdr>
    </w:div>
    <w:div w:id="369841582">
      <w:bodyDiv w:val="1"/>
      <w:marLeft w:val="0"/>
      <w:marRight w:val="0"/>
      <w:marTop w:val="0"/>
      <w:marBottom w:val="0"/>
      <w:divBdr>
        <w:top w:val="none" w:sz="0" w:space="0" w:color="auto"/>
        <w:left w:val="none" w:sz="0" w:space="0" w:color="auto"/>
        <w:bottom w:val="none" w:sz="0" w:space="0" w:color="auto"/>
        <w:right w:val="none" w:sz="0" w:space="0" w:color="auto"/>
      </w:divBdr>
    </w:div>
    <w:div w:id="521362692">
      <w:bodyDiv w:val="1"/>
      <w:marLeft w:val="0"/>
      <w:marRight w:val="0"/>
      <w:marTop w:val="0"/>
      <w:marBottom w:val="0"/>
      <w:divBdr>
        <w:top w:val="none" w:sz="0" w:space="0" w:color="auto"/>
        <w:left w:val="none" w:sz="0" w:space="0" w:color="auto"/>
        <w:bottom w:val="none" w:sz="0" w:space="0" w:color="auto"/>
        <w:right w:val="none" w:sz="0" w:space="0" w:color="auto"/>
      </w:divBdr>
    </w:div>
    <w:div w:id="804393365">
      <w:bodyDiv w:val="1"/>
      <w:marLeft w:val="0"/>
      <w:marRight w:val="0"/>
      <w:marTop w:val="0"/>
      <w:marBottom w:val="0"/>
      <w:divBdr>
        <w:top w:val="none" w:sz="0" w:space="0" w:color="auto"/>
        <w:left w:val="none" w:sz="0" w:space="0" w:color="auto"/>
        <w:bottom w:val="none" w:sz="0" w:space="0" w:color="auto"/>
        <w:right w:val="none" w:sz="0" w:space="0" w:color="auto"/>
      </w:divBdr>
    </w:div>
    <w:div w:id="809128995">
      <w:bodyDiv w:val="1"/>
      <w:marLeft w:val="0"/>
      <w:marRight w:val="0"/>
      <w:marTop w:val="0"/>
      <w:marBottom w:val="0"/>
      <w:divBdr>
        <w:top w:val="none" w:sz="0" w:space="0" w:color="auto"/>
        <w:left w:val="none" w:sz="0" w:space="0" w:color="auto"/>
        <w:bottom w:val="none" w:sz="0" w:space="0" w:color="auto"/>
        <w:right w:val="none" w:sz="0" w:space="0" w:color="auto"/>
      </w:divBdr>
    </w:div>
    <w:div w:id="842086515">
      <w:bodyDiv w:val="1"/>
      <w:marLeft w:val="0"/>
      <w:marRight w:val="0"/>
      <w:marTop w:val="0"/>
      <w:marBottom w:val="0"/>
      <w:divBdr>
        <w:top w:val="none" w:sz="0" w:space="0" w:color="auto"/>
        <w:left w:val="none" w:sz="0" w:space="0" w:color="auto"/>
        <w:bottom w:val="none" w:sz="0" w:space="0" w:color="auto"/>
        <w:right w:val="none" w:sz="0" w:space="0" w:color="auto"/>
      </w:divBdr>
    </w:div>
    <w:div w:id="956133395">
      <w:bodyDiv w:val="1"/>
      <w:marLeft w:val="0"/>
      <w:marRight w:val="0"/>
      <w:marTop w:val="0"/>
      <w:marBottom w:val="0"/>
      <w:divBdr>
        <w:top w:val="none" w:sz="0" w:space="0" w:color="auto"/>
        <w:left w:val="none" w:sz="0" w:space="0" w:color="auto"/>
        <w:bottom w:val="none" w:sz="0" w:space="0" w:color="auto"/>
        <w:right w:val="none" w:sz="0" w:space="0" w:color="auto"/>
      </w:divBdr>
    </w:div>
    <w:div w:id="1078476413">
      <w:bodyDiv w:val="1"/>
      <w:marLeft w:val="0"/>
      <w:marRight w:val="0"/>
      <w:marTop w:val="0"/>
      <w:marBottom w:val="0"/>
      <w:divBdr>
        <w:top w:val="none" w:sz="0" w:space="0" w:color="auto"/>
        <w:left w:val="none" w:sz="0" w:space="0" w:color="auto"/>
        <w:bottom w:val="none" w:sz="0" w:space="0" w:color="auto"/>
        <w:right w:val="none" w:sz="0" w:space="0" w:color="auto"/>
      </w:divBdr>
    </w:div>
    <w:div w:id="1236163046">
      <w:bodyDiv w:val="1"/>
      <w:marLeft w:val="0"/>
      <w:marRight w:val="0"/>
      <w:marTop w:val="0"/>
      <w:marBottom w:val="0"/>
      <w:divBdr>
        <w:top w:val="none" w:sz="0" w:space="0" w:color="auto"/>
        <w:left w:val="none" w:sz="0" w:space="0" w:color="auto"/>
        <w:bottom w:val="none" w:sz="0" w:space="0" w:color="auto"/>
        <w:right w:val="none" w:sz="0" w:space="0" w:color="auto"/>
      </w:divBdr>
    </w:div>
    <w:div w:id="1253709661">
      <w:bodyDiv w:val="1"/>
      <w:marLeft w:val="0"/>
      <w:marRight w:val="0"/>
      <w:marTop w:val="0"/>
      <w:marBottom w:val="0"/>
      <w:divBdr>
        <w:top w:val="none" w:sz="0" w:space="0" w:color="auto"/>
        <w:left w:val="none" w:sz="0" w:space="0" w:color="auto"/>
        <w:bottom w:val="none" w:sz="0" w:space="0" w:color="auto"/>
        <w:right w:val="none" w:sz="0" w:space="0" w:color="auto"/>
      </w:divBdr>
    </w:div>
    <w:div w:id="1323387868">
      <w:bodyDiv w:val="1"/>
      <w:marLeft w:val="0"/>
      <w:marRight w:val="0"/>
      <w:marTop w:val="0"/>
      <w:marBottom w:val="0"/>
      <w:divBdr>
        <w:top w:val="none" w:sz="0" w:space="0" w:color="auto"/>
        <w:left w:val="none" w:sz="0" w:space="0" w:color="auto"/>
        <w:bottom w:val="none" w:sz="0" w:space="0" w:color="auto"/>
        <w:right w:val="none" w:sz="0" w:space="0" w:color="auto"/>
      </w:divBdr>
    </w:div>
    <w:div w:id="1327586761">
      <w:bodyDiv w:val="1"/>
      <w:marLeft w:val="0"/>
      <w:marRight w:val="0"/>
      <w:marTop w:val="0"/>
      <w:marBottom w:val="0"/>
      <w:divBdr>
        <w:top w:val="none" w:sz="0" w:space="0" w:color="auto"/>
        <w:left w:val="none" w:sz="0" w:space="0" w:color="auto"/>
        <w:bottom w:val="none" w:sz="0" w:space="0" w:color="auto"/>
        <w:right w:val="none" w:sz="0" w:space="0" w:color="auto"/>
      </w:divBdr>
    </w:div>
    <w:div w:id="1408260610">
      <w:bodyDiv w:val="1"/>
      <w:marLeft w:val="0"/>
      <w:marRight w:val="0"/>
      <w:marTop w:val="0"/>
      <w:marBottom w:val="0"/>
      <w:divBdr>
        <w:top w:val="none" w:sz="0" w:space="0" w:color="auto"/>
        <w:left w:val="none" w:sz="0" w:space="0" w:color="auto"/>
        <w:bottom w:val="none" w:sz="0" w:space="0" w:color="auto"/>
        <w:right w:val="none" w:sz="0" w:space="0" w:color="auto"/>
      </w:divBdr>
    </w:div>
    <w:div w:id="1584950510">
      <w:bodyDiv w:val="1"/>
      <w:marLeft w:val="0"/>
      <w:marRight w:val="0"/>
      <w:marTop w:val="0"/>
      <w:marBottom w:val="0"/>
      <w:divBdr>
        <w:top w:val="none" w:sz="0" w:space="0" w:color="auto"/>
        <w:left w:val="none" w:sz="0" w:space="0" w:color="auto"/>
        <w:bottom w:val="none" w:sz="0" w:space="0" w:color="auto"/>
        <w:right w:val="none" w:sz="0" w:space="0" w:color="auto"/>
      </w:divBdr>
    </w:div>
    <w:div w:id="1707099806">
      <w:bodyDiv w:val="1"/>
      <w:marLeft w:val="0"/>
      <w:marRight w:val="0"/>
      <w:marTop w:val="0"/>
      <w:marBottom w:val="0"/>
      <w:divBdr>
        <w:top w:val="none" w:sz="0" w:space="0" w:color="auto"/>
        <w:left w:val="none" w:sz="0" w:space="0" w:color="auto"/>
        <w:bottom w:val="none" w:sz="0" w:space="0" w:color="auto"/>
        <w:right w:val="none" w:sz="0" w:space="0" w:color="auto"/>
      </w:divBdr>
    </w:div>
    <w:div w:id="1787305611">
      <w:bodyDiv w:val="1"/>
      <w:marLeft w:val="0"/>
      <w:marRight w:val="0"/>
      <w:marTop w:val="0"/>
      <w:marBottom w:val="0"/>
      <w:divBdr>
        <w:top w:val="none" w:sz="0" w:space="0" w:color="auto"/>
        <w:left w:val="none" w:sz="0" w:space="0" w:color="auto"/>
        <w:bottom w:val="none" w:sz="0" w:space="0" w:color="auto"/>
        <w:right w:val="none" w:sz="0" w:space="0" w:color="auto"/>
      </w:divBdr>
    </w:div>
    <w:div w:id="1842622416">
      <w:bodyDiv w:val="1"/>
      <w:marLeft w:val="0"/>
      <w:marRight w:val="0"/>
      <w:marTop w:val="0"/>
      <w:marBottom w:val="0"/>
      <w:divBdr>
        <w:top w:val="none" w:sz="0" w:space="0" w:color="auto"/>
        <w:left w:val="none" w:sz="0" w:space="0" w:color="auto"/>
        <w:bottom w:val="none" w:sz="0" w:space="0" w:color="auto"/>
        <w:right w:val="none" w:sz="0" w:space="0" w:color="auto"/>
      </w:divBdr>
    </w:div>
    <w:div w:id="18821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ingercm">
  <a:themeElements>
    <a:clrScheme name="Singer Capital Markets">
      <a:dk1>
        <a:srgbClr val="004513"/>
      </a:dk1>
      <a:lt1>
        <a:srgbClr val="057C35"/>
      </a:lt1>
      <a:dk2>
        <a:srgbClr val="13B455"/>
      </a:dk2>
      <a:lt2>
        <a:srgbClr val="14CA5E"/>
      </a:lt2>
      <a:accent1>
        <a:srgbClr val="78E59E"/>
      </a:accent1>
      <a:accent2>
        <a:srgbClr val="E8BB8F"/>
      </a:accent2>
      <a:accent3>
        <a:srgbClr val="F5AB29"/>
      </a:accent3>
      <a:accent4>
        <a:srgbClr val="F75C52"/>
      </a:accent4>
      <a:accent5>
        <a:srgbClr val="1F8F87"/>
      </a:accent5>
      <a:accent6>
        <a:srgbClr val="B8240D"/>
      </a:accent6>
      <a:hlink>
        <a:srgbClr val="14CA5E"/>
      </a:hlink>
      <a:folHlink>
        <a:srgbClr val="004513"/>
      </a:folHlink>
    </a:clrScheme>
    <a:fontScheme name="Singer Capital Markets">
      <a:majorFont>
        <a:latin typeface="Ebrima"/>
        <a:ea typeface=""/>
        <a:cs typeface=""/>
      </a:majorFont>
      <a:minorFont>
        <a:latin typeface="Ebri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DM!3126117.3</documentid>
  <senderid>ANM</senderid>
  <senderemail>ANDREW.MANSON@DMWS.COM</senderemail>
  <lastmodified>2025-10-08T09:56:00.0000000+01:00</lastmodified>
  <database>DM</database>
</properties>
</file>

<file path=customXml/itemProps1.xml><?xml version="1.0" encoding="utf-8"?>
<ds:datastoreItem xmlns:ds="http://schemas.openxmlformats.org/officeDocument/2006/customXml" ds:itemID="{B69D9C44-A514-4B9D-8021-06CCF7E249E8}">
  <ds:schemaRefs>
    <ds:schemaRef ds:uri="http://schemas.openxmlformats.org/officeDocument/2006/bibliography"/>
  </ds:schemaRefs>
</ds:datastoreItem>
</file>

<file path=customXml/itemProps2.xml><?xml version="1.0" encoding="utf-8"?>
<ds:datastoreItem xmlns:ds="http://schemas.openxmlformats.org/officeDocument/2006/customXml" ds:itemID="{9D86FC4E-C754-435E-875B-B7BCCED9B55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Duthie-Jackson</dc:creator>
  <cp:lastModifiedBy>Stephanie Duthie-Jackson</cp:lastModifiedBy>
  <cp:revision>2</cp:revision>
  <dcterms:created xsi:type="dcterms:W3CDTF">2025-10-24T15:00:00Z</dcterms:created>
  <dcterms:modified xsi:type="dcterms:W3CDTF">2025-10-24T15:00:00Z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Legal02#117477341v1[SWW01]</vt:lpwstr>
  </property>
  <property fmtid="{D5CDD505-2E9C-101B-9397-08002B2CF9AE}" pid="3" name="MSIP_Label_fc4519d8-adb2-4385-b2bc-1749617809ca_Enabled">
    <vt:lpwstr>true</vt:lpwstr>
  </property>
  <property fmtid="{D5CDD505-2E9C-101B-9397-08002B2CF9AE}" pid="4" name="MSIP_Label_fc4519d8-adb2-4385-b2bc-1749617809ca_SetDate">
    <vt:lpwstr>2025-10-24T15:00:32Z</vt:lpwstr>
  </property>
  <property fmtid="{D5CDD505-2E9C-101B-9397-08002B2CF9AE}" pid="5" name="MSIP_Label_fc4519d8-adb2-4385-b2bc-1749617809ca_Method">
    <vt:lpwstr>Standard</vt:lpwstr>
  </property>
  <property fmtid="{D5CDD505-2E9C-101B-9397-08002B2CF9AE}" pid="6" name="MSIP_Label_fc4519d8-adb2-4385-b2bc-1749617809ca_Name">
    <vt:lpwstr>fc4519d8-adb2-4385-b2bc-1749617809ca</vt:lpwstr>
  </property>
  <property fmtid="{D5CDD505-2E9C-101B-9397-08002B2CF9AE}" pid="7" name="MSIP_Label_fc4519d8-adb2-4385-b2bc-1749617809ca_SiteId">
    <vt:lpwstr>7243835e-31d0-4cb2-b1ea-2a33d6eaf3c0</vt:lpwstr>
  </property>
  <property fmtid="{D5CDD505-2E9C-101B-9397-08002B2CF9AE}" pid="8" name="MSIP_Label_fc4519d8-adb2-4385-b2bc-1749617809ca_ActionId">
    <vt:lpwstr>522a61af-c62b-4d46-866c-0ca0686299dd</vt:lpwstr>
  </property>
  <property fmtid="{D5CDD505-2E9C-101B-9397-08002B2CF9AE}" pid="9" name="MSIP_Label_fc4519d8-adb2-4385-b2bc-1749617809ca_ContentBits">
    <vt:lpwstr>0</vt:lpwstr>
  </property>
  <property fmtid="{D5CDD505-2E9C-101B-9397-08002B2CF9AE}" pid="10" name="MSIP_Label_fc4519d8-adb2-4385-b2bc-1749617809ca_Tag">
    <vt:lpwstr>10, 3, 0, 1</vt:lpwstr>
  </property>
</Properties>
</file>