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DC012" w14:textId="3E21A701" w:rsidR="00856E8E" w:rsidRPr="00856E8E" w:rsidRDefault="00BC4ECD" w:rsidP="00856E8E">
      <w:pPr>
        <w:pStyle w:val="AODocTxt"/>
        <w:spacing w:before="100" w:beforeAutospacing="1" w:line="240" w:lineRule="auto"/>
        <w:rPr>
          <w:b/>
        </w:rPr>
      </w:pPr>
      <w:r>
        <w:rPr>
          <w:b/>
        </w:rPr>
        <w:t>N</w:t>
      </w:r>
      <w:r w:rsidR="00856E8E" w:rsidRPr="00856E8E">
        <w:rPr>
          <w:b/>
        </w:rPr>
        <w:t>OT FOR RELEASE, PUBLICATION OR DISTRIBUTION, IN WHOLE OR IN PART, DIRECTLY OR INDIRECTLY, IN, INTO OR FROM ANY JURISDICTION WHERE TO DO SO WOULD CONSTITUTE A VIOLATION OF THE RELEVANT LAWS OR REGULATIONS OF THAT JURISDICTION</w:t>
      </w:r>
    </w:p>
    <w:p w14:paraId="034134FE" w14:textId="77777777" w:rsidR="00856E8E" w:rsidRPr="00856E8E" w:rsidRDefault="00856E8E" w:rsidP="00856E8E">
      <w:pPr>
        <w:pStyle w:val="AODocTxt"/>
        <w:spacing w:line="240" w:lineRule="auto"/>
      </w:pPr>
      <w:r w:rsidRPr="00856E8E">
        <w:rPr>
          <w:b/>
        </w:rPr>
        <w:t>FOR IMMEDIATE RELEASE</w:t>
      </w:r>
    </w:p>
    <w:p w14:paraId="266E61CB" w14:textId="73AA6DD4" w:rsidR="00BC4ECD" w:rsidRPr="00BC4ECD" w:rsidRDefault="00856E8E" w:rsidP="00BC4ECD">
      <w:pPr>
        <w:pStyle w:val="BodyText1"/>
        <w:jc w:val="left"/>
        <w:rPr>
          <w:b/>
        </w:rPr>
      </w:pPr>
      <w:r w:rsidRPr="00856E8E">
        <w:rPr>
          <w:rFonts w:cs="Times New Roman"/>
          <w:b/>
        </w:rPr>
        <w:t xml:space="preserve">   </w:t>
      </w:r>
      <w:r w:rsidRPr="00856E8E">
        <w:rPr>
          <w:rFonts w:cs="Times New Roman"/>
          <w:b/>
        </w:rPr>
        <w:tab/>
      </w:r>
      <w:r w:rsidRPr="00856E8E">
        <w:rPr>
          <w:rFonts w:cs="Times New Roman"/>
          <w:b/>
        </w:rPr>
        <w:tab/>
      </w:r>
      <w:r w:rsidRPr="00856E8E">
        <w:rPr>
          <w:rFonts w:cs="Times New Roman"/>
          <w:b/>
        </w:rPr>
        <w:tab/>
      </w:r>
      <w:r w:rsidRPr="00856E8E">
        <w:rPr>
          <w:rFonts w:cs="Times New Roman"/>
          <w:b/>
        </w:rPr>
        <w:tab/>
      </w:r>
      <w:r w:rsidRPr="00856E8E">
        <w:rPr>
          <w:rFonts w:cs="Times New Roman"/>
          <w:b/>
        </w:rPr>
        <w:tab/>
      </w:r>
      <w:r w:rsidRPr="00856E8E">
        <w:rPr>
          <w:rFonts w:cs="Times New Roman"/>
          <w:b/>
        </w:rPr>
        <w:tab/>
      </w:r>
      <w:r w:rsidRPr="00856E8E">
        <w:rPr>
          <w:rFonts w:cs="Times New Roman"/>
          <w:b/>
        </w:rPr>
        <w:tab/>
      </w:r>
      <w:r w:rsidRPr="00856E8E">
        <w:rPr>
          <w:rFonts w:cs="Times New Roman"/>
          <w:b/>
        </w:rPr>
        <w:tab/>
      </w:r>
      <w:r w:rsidR="00097144">
        <w:rPr>
          <w:rFonts w:cs="Times New Roman"/>
          <w:b/>
        </w:rPr>
        <w:t xml:space="preserve">                   </w:t>
      </w:r>
      <w:r w:rsidR="00ED0277">
        <w:rPr>
          <w:rFonts w:cs="Times New Roman"/>
          <w:b/>
        </w:rPr>
        <w:t>2</w:t>
      </w:r>
      <w:r w:rsidRPr="00856E8E">
        <w:rPr>
          <w:rFonts w:cs="Times New Roman"/>
          <w:b/>
        </w:rPr>
        <w:t xml:space="preserve"> Ju</w:t>
      </w:r>
      <w:r w:rsidR="0009320D">
        <w:rPr>
          <w:rFonts w:cs="Times New Roman"/>
          <w:b/>
        </w:rPr>
        <w:t>ly</w:t>
      </w:r>
      <w:r w:rsidRPr="00856E8E">
        <w:rPr>
          <w:rFonts w:cs="Times New Roman"/>
          <w:b/>
        </w:rPr>
        <w:t xml:space="preserve"> 2025</w:t>
      </w:r>
      <w:r w:rsidRPr="00856E8E">
        <w:rPr>
          <w:b/>
        </w:rPr>
        <w:t xml:space="preserve">   </w:t>
      </w:r>
    </w:p>
    <w:p w14:paraId="50603773" w14:textId="747E8218" w:rsidR="00ED0277" w:rsidRDefault="00BC4ECD" w:rsidP="00BC4ECD">
      <w:pPr>
        <w:pStyle w:val="AODocTxt"/>
        <w:spacing w:before="120" w:line="240" w:lineRule="auto"/>
        <w:jc w:val="center"/>
        <w:rPr>
          <w:b/>
          <w:sz w:val="24"/>
          <w:szCs w:val="24"/>
        </w:rPr>
      </w:pPr>
      <w:r>
        <w:rPr>
          <w:b/>
          <w:sz w:val="24"/>
          <w:szCs w:val="24"/>
        </w:rPr>
        <w:t>Disclosure under Rule 2.10(c) of the City Code on Takeovers and Mergers (the "Code") in respect of the</w:t>
      </w:r>
    </w:p>
    <w:p w14:paraId="166ADCBB" w14:textId="77777777" w:rsidR="00BC4ECD" w:rsidRPr="00BC4ECD" w:rsidRDefault="00BC4ECD" w:rsidP="00BC4ECD">
      <w:pPr>
        <w:pStyle w:val="AODocTxt"/>
        <w:spacing w:before="120" w:line="240" w:lineRule="auto"/>
        <w:jc w:val="center"/>
        <w:rPr>
          <w:b/>
          <w:sz w:val="24"/>
          <w:szCs w:val="24"/>
        </w:rPr>
      </w:pPr>
    </w:p>
    <w:p w14:paraId="4117F6D9" w14:textId="76A927A0" w:rsidR="00856E8E" w:rsidRPr="00856E8E" w:rsidRDefault="00856E8E" w:rsidP="00856E8E">
      <w:pPr>
        <w:pStyle w:val="AODocTxt"/>
        <w:spacing w:before="120" w:line="240" w:lineRule="auto"/>
        <w:jc w:val="center"/>
        <w:rPr>
          <w:b/>
          <w:highlight w:val="yellow"/>
        </w:rPr>
      </w:pPr>
      <w:r w:rsidRPr="00856E8E">
        <w:rPr>
          <w:b/>
        </w:rPr>
        <w:t>RECOMMENDED CASH ACQUISITION</w:t>
      </w:r>
    </w:p>
    <w:p w14:paraId="4F65CBE2" w14:textId="77777777" w:rsidR="00856E8E" w:rsidRPr="00856E8E" w:rsidRDefault="00856E8E" w:rsidP="00856E8E">
      <w:pPr>
        <w:pStyle w:val="AODocTxt"/>
        <w:spacing w:before="120" w:line="240" w:lineRule="auto"/>
        <w:jc w:val="center"/>
        <w:rPr>
          <w:b/>
        </w:rPr>
      </w:pPr>
      <w:r w:rsidRPr="00856E8E">
        <w:rPr>
          <w:b/>
        </w:rPr>
        <w:t>of</w:t>
      </w:r>
    </w:p>
    <w:p w14:paraId="0F4B755F" w14:textId="77777777" w:rsidR="00856E8E" w:rsidRPr="00856E8E" w:rsidRDefault="00856E8E" w:rsidP="00856E8E">
      <w:pPr>
        <w:pStyle w:val="AODocTxt"/>
        <w:spacing w:before="120" w:line="240" w:lineRule="auto"/>
        <w:jc w:val="center"/>
        <w:rPr>
          <w:b/>
        </w:rPr>
      </w:pPr>
      <w:r w:rsidRPr="00856E8E">
        <w:rPr>
          <w:b/>
        </w:rPr>
        <w:t>DOWNING RENEWABLES &amp; INFRASTRUCTURE TRUST PLC</w:t>
      </w:r>
    </w:p>
    <w:p w14:paraId="5CE26FF0" w14:textId="77777777" w:rsidR="00856E8E" w:rsidRPr="00856E8E" w:rsidRDefault="00856E8E" w:rsidP="00856E8E">
      <w:pPr>
        <w:pStyle w:val="AODocTxt"/>
        <w:spacing w:before="120" w:line="240" w:lineRule="auto"/>
        <w:jc w:val="center"/>
        <w:rPr>
          <w:b/>
        </w:rPr>
      </w:pPr>
      <w:r w:rsidRPr="00856E8E">
        <w:rPr>
          <w:b/>
        </w:rPr>
        <w:t>by</w:t>
      </w:r>
    </w:p>
    <w:p w14:paraId="75ED2D64" w14:textId="77777777" w:rsidR="00856E8E" w:rsidRPr="00856E8E" w:rsidRDefault="00856E8E" w:rsidP="00856E8E">
      <w:pPr>
        <w:pStyle w:val="AODocTxt"/>
        <w:spacing w:before="120" w:line="240" w:lineRule="auto"/>
        <w:jc w:val="center"/>
        <w:rPr>
          <w:b/>
        </w:rPr>
      </w:pPr>
      <w:r w:rsidRPr="00856E8E">
        <w:rPr>
          <w:b/>
        </w:rPr>
        <w:t xml:space="preserve">POLAR NIMROD TOPCO LIMITED </w:t>
      </w:r>
    </w:p>
    <w:p w14:paraId="26F3420D" w14:textId="05357749" w:rsidR="00856E8E" w:rsidRPr="00856E8E" w:rsidRDefault="00856E8E" w:rsidP="00856E8E">
      <w:pPr>
        <w:pStyle w:val="AODocTxt"/>
        <w:spacing w:before="120" w:line="240" w:lineRule="auto"/>
        <w:jc w:val="center"/>
        <w:rPr>
          <w:b/>
        </w:rPr>
      </w:pPr>
      <w:r w:rsidRPr="00856E8E">
        <w:rPr>
          <w:b/>
        </w:rPr>
        <w:t>(a newly formed vehicle, wholly-owned by Bagnall Energy Limited)</w:t>
      </w:r>
    </w:p>
    <w:p w14:paraId="5D39B5C7" w14:textId="4F3DBDE2" w:rsidR="00856E8E" w:rsidRPr="00856E8E" w:rsidRDefault="00856E8E" w:rsidP="00856E8E">
      <w:pPr>
        <w:pStyle w:val="AODocTxt"/>
        <w:spacing w:before="120" w:line="240" w:lineRule="auto"/>
        <w:jc w:val="center"/>
        <w:rPr>
          <w:b/>
        </w:rPr>
      </w:pPr>
      <w:r w:rsidRPr="00856E8E">
        <w:rPr>
          <w:b/>
        </w:rPr>
        <w:t>to be implemented by means of a Court-sanctioned scheme of arrangement under Part 26 of the Companies Act</w:t>
      </w:r>
    </w:p>
    <w:p w14:paraId="598D6014" w14:textId="77777777" w:rsidR="00856E8E" w:rsidRPr="00856E8E" w:rsidRDefault="00856E8E" w:rsidP="00C4573F">
      <w:pPr>
        <w:jc w:val="center"/>
        <w:rPr>
          <w:rFonts w:ascii="Times New Roman" w:hAnsi="Times New Roman" w:cs="Times New Roman"/>
          <w:b/>
          <w:bCs/>
          <w:lang w:val="en-GB"/>
        </w:rPr>
      </w:pPr>
    </w:p>
    <w:p w14:paraId="033625F7" w14:textId="0A6FE826" w:rsidR="00562839" w:rsidRDefault="00ED0277" w:rsidP="00C4573F">
      <w:pPr>
        <w:jc w:val="center"/>
        <w:rPr>
          <w:rFonts w:ascii="Times New Roman" w:hAnsi="Times New Roman" w:cs="Times New Roman"/>
          <w:b/>
          <w:bCs/>
        </w:rPr>
      </w:pPr>
      <w:r>
        <w:rPr>
          <w:rFonts w:ascii="Times New Roman" w:hAnsi="Times New Roman" w:cs="Times New Roman"/>
          <w:b/>
          <w:bCs/>
          <w:lang w:val="en-GB"/>
        </w:rPr>
        <w:t xml:space="preserve">Update </w:t>
      </w:r>
      <w:r w:rsidRPr="00ED0277">
        <w:rPr>
          <w:rFonts w:ascii="Times New Roman" w:hAnsi="Times New Roman" w:cs="Times New Roman"/>
          <w:b/>
          <w:bCs/>
        </w:rPr>
        <w:t xml:space="preserve">on </w:t>
      </w:r>
      <w:r w:rsidR="00FB3C91">
        <w:rPr>
          <w:rFonts w:ascii="Times New Roman" w:hAnsi="Times New Roman" w:cs="Times New Roman"/>
          <w:b/>
          <w:bCs/>
        </w:rPr>
        <w:t>l</w:t>
      </w:r>
      <w:r w:rsidRPr="00ED0277">
        <w:rPr>
          <w:rFonts w:ascii="Times New Roman" w:hAnsi="Times New Roman" w:cs="Times New Roman"/>
          <w:b/>
          <w:bCs/>
        </w:rPr>
        <w:t xml:space="preserve">etter of </w:t>
      </w:r>
      <w:r w:rsidR="00FB3C91">
        <w:rPr>
          <w:rFonts w:ascii="Times New Roman" w:hAnsi="Times New Roman" w:cs="Times New Roman"/>
          <w:b/>
          <w:bCs/>
        </w:rPr>
        <w:t>i</w:t>
      </w:r>
      <w:r w:rsidRPr="00ED0277">
        <w:rPr>
          <w:rFonts w:ascii="Times New Roman" w:hAnsi="Times New Roman" w:cs="Times New Roman"/>
          <w:b/>
          <w:bCs/>
        </w:rPr>
        <w:t>ntent given by</w:t>
      </w:r>
      <w:r>
        <w:rPr>
          <w:rFonts w:ascii="Times New Roman" w:hAnsi="Times New Roman" w:cs="Times New Roman"/>
          <w:b/>
          <w:bCs/>
        </w:rPr>
        <w:t xml:space="preserve"> </w:t>
      </w:r>
      <w:r w:rsidRPr="00ED0277">
        <w:rPr>
          <w:rFonts w:ascii="Times New Roman" w:hAnsi="Times New Roman" w:cs="Times New Roman"/>
          <w:b/>
          <w:bCs/>
        </w:rPr>
        <w:t>Hawksmoor Investment Management L</w:t>
      </w:r>
      <w:r w:rsidR="00FB3C91">
        <w:rPr>
          <w:rFonts w:ascii="Times New Roman" w:hAnsi="Times New Roman" w:cs="Times New Roman"/>
          <w:b/>
          <w:bCs/>
        </w:rPr>
        <w:t>imited</w:t>
      </w:r>
      <w:r>
        <w:rPr>
          <w:rFonts w:ascii="Times New Roman" w:hAnsi="Times New Roman" w:cs="Times New Roman"/>
          <w:b/>
          <w:bCs/>
        </w:rPr>
        <w:t xml:space="preserve"> (“Hawksmoor”)</w:t>
      </w:r>
    </w:p>
    <w:p w14:paraId="7A5E9E20" w14:textId="70E08610" w:rsidR="00ED0277" w:rsidRDefault="00ED0277" w:rsidP="00ED0277">
      <w:pPr>
        <w:jc w:val="both"/>
        <w:rPr>
          <w:rFonts w:ascii="Times New Roman" w:hAnsi="Times New Roman" w:cs="Times New Roman"/>
        </w:rPr>
      </w:pPr>
      <w:r w:rsidRPr="00ED0277">
        <w:rPr>
          <w:rFonts w:ascii="Times New Roman" w:hAnsi="Times New Roman" w:cs="Times New Roman"/>
        </w:rPr>
        <w:t>On 20 June 2025, the boards of directors of Downing Renewables &amp; Infrastructure Trust</w:t>
      </w:r>
      <w:r w:rsidR="00D76BB4">
        <w:rPr>
          <w:rFonts w:ascii="Times New Roman" w:hAnsi="Times New Roman" w:cs="Times New Roman"/>
        </w:rPr>
        <w:t xml:space="preserve"> plc</w:t>
      </w:r>
      <w:r w:rsidRPr="00ED0277">
        <w:rPr>
          <w:rFonts w:ascii="Times New Roman" w:hAnsi="Times New Roman" w:cs="Times New Roman"/>
        </w:rPr>
        <w:t xml:space="preserve"> (“</w:t>
      </w:r>
      <w:r w:rsidRPr="00ED0277">
        <w:rPr>
          <w:rFonts w:ascii="Times New Roman" w:hAnsi="Times New Roman" w:cs="Times New Roman"/>
          <w:b/>
          <w:bCs/>
        </w:rPr>
        <w:t>DORE</w:t>
      </w:r>
      <w:r w:rsidRPr="00ED0277">
        <w:rPr>
          <w:rFonts w:ascii="Times New Roman" w:hAnsi="Times New Roman" w:cs="Times New Roman"/>
        </w:rPr>
        <w:t>”) and Bagnall Energy Limited (“</w:t>
      </w:r>
      <w:r w:rsidRPr="00ED0277">
        <w:rPr>
          <w:rFonts w:ascii="Times New Roman" w:hAnsi="Times New Roman" w:cs="Times New Roman"/>
          <w:b/>
          <w:bCs/>
        </w:rPr>
        <w:t>Bagnall</w:t>
      </w:r>
      <w:r w:rsidRPr="00ED0277">
        <w:rPr>
          <w:rFonts w:ascii="Times New Roman" w:hAnsi="Times New Roman" w:cs="Times New Roman"/>
        </w:rPr>
        <w:t xml:space="preserve">”) announced that they had reached agreement on the terms of a recommended </w:t>
      </w:r>
      <w:r w:rsidR="00CC7C07">
        <w:rPr>
          <w:rFonts w:ascii="Times New Roman" w:hAnsi="Times New Roman" w:cs="Times New Roman"/>
        </w:rPr>
        <w:t xml:space="preserve">cash </w:t>
      </w:r>
      <w:r w:rsidRPr="00ED0277">
        <w:rPr>
          <w:rFonts w:ascii="Times New Roman" w:hAnsi="Times New Roman" w:cs="Times New Roman"/>
        </w:rPr>
        <w:t>acquisition, pursuant to</w:t>
      </w:r>
      <w:r w:rsidR="00CC7C07">
        <w:rPr>
          <w:rFonts w:ascii="Times New Roman" w:hAnsi="Times New Roman" w:cs="Times New Roman"/>
        </w:rPr>
        <w:t xml:space="preserve"> which</w:t>
      </w:r>
      <w:r w:rsidRPr="00ED0277">
        <w:rPr>
          <w:rFonts w:ascii="Times New Roman" w:hAnsi="Times New Roman" w:cs="Times New Roman"/>
        </w:rPr>
        <w:t xml:space="preserve"> Polar Nimrod Topco Limited (“</w:t>
      </w:r>
      <w:r w:rsidRPr="00ED0277">
        <w:rPr>
          <w:rFonts w:ascii="Times New Roman" w:hAnsi="Times New Roman" w:cs="Times New Roman"/>
          <w:b/>
          <w:bCs/>
        </w:rPr>
        <w:t>Bidco</w:t>
      </w:r>
      <w:r w:rsidRPr="00ED0277">
        <w:rPr>
          <w:rFonts w:ascii="Times New Roman" w:hAnsi="Times New Roman" w:cs="Times New Roman"/>
        </w:rPr>
        <w:t xml:space="preserve">”), a wholly owned subsidiary of Bagnall, will acquire the entire issued and to be issued ordinary share capital of DORE that </w:t>
      </w:r>
      <w:r w:rsidR="00CC7C07">
        <w:rPr>
          <w:rFonts w:ascii="Times New Roman" w:hAnsi="Times New Roman" w:cs="Times New Roman"/>
        </w:rPr>
        <w:t xml:space="preserve">the </w:t>
      </w:r>
      <w:r w:rsidRPr="00ED0277">
        <w:rPr>
          <w:rFonts w:ascii="Times New Roman" w:hAnsi="Times New Roman" w:cs="Times New Roman"/>
        </w:rPr>
        <w:t>Bagnall</w:t>
      </w:r>
      <w:r w:rsidR="00CC7C07">
        <w:rPr>
          <w:rFonts w:ascii="Times New Roman" w:hAnsi="Times New Roman" w:cs="Times New Roman"/>
        </w:rPr>
        <w:t xml:space="preserve"> Goup</w:t>
      </w:r>
      <w:r w:rsidRPr="00ED0277">
        <w:rPr>
          <w:rFonts w:ascii="Times New Roman" w:hAnsi="Times New Roman" w:cs="Times New Roman"/>
        </w:rPr>
        <w:t xml:space="preserve"> does not already own (the “</w:t>
      </w:r>
      <w:r w:rsidRPr="00ED0277">
        <w:rPr>
          <w:rFonts w:ascii="Times New Roman" w:hAnsi="Times New Roman" w:cs="Times New Roman"/>
          <w:b/>
          <w:bCs/>
        </w:rPr>
        <w:t>Acquisition</w:t>
      </w:r>
      <w:r w:rsidRPr="00ED0277">
        <w:rPr>
          <w:rFonts w:ascii="Times New Roman" w:hAnsi="Times New Roman" w:cs="Times New Roman"/>
        </w:rPr>
        <w:t>”)</w:t>
      </w:r>
      <w:r w:rsidR="00267BF7">
        <w:rPr>
          <w:rFonts w:ascii="Times New Roman" w:hAnsi="Times New Roman" w:cs="Times New Roman"/>
        </w:rPr>
        <w:t xml:space="preserve"> to be effected by means of a Court-sanctioned scheme of arrangement under Part 26 of the Companies Act 2006 (the "</w:t>
      </w:r>
      <w:r w:rsidR="00267BF7" w:rsidRPr="008D15F4">
        <w:rPr>
          <w:rFonts w:ascii="Times New Roman" w:hAnsi="Times New Roman" w:cs="Times New Roman"/>
          <w:b/>
          <w:bCs/>
        </w:rPr>
        <w:t>Rule 2.7 Announcement</w:t>
      </w:r>
      <w:r w:rsidR="00267BF7">
        <w:rPr>
          <w:rFonts w:ascii="Times New Roman" w:hAnsi="Times New Roman" w:cs="Times New Roman"/>
        </w:rPr>
        <w:t xml:space="preserve">") </w:t>
      </w:r>
      <w:r w:rsidRPr="00ED0277">
        <w:rPr>
          <w:rFonts w:ascii="Times New Roman" w:hAnsi="Times New Roman" w:cs="Times New Roman"/>
        </w:rPr>
        <w:t xml:space="preserve">. </w:t>
      </w:r>
    </w:p>
    <w:p w14:paraId="3FFD1801" w14:textId="0537617F" w:rsidR="00F278DC" w:rsidRPr="007D0A4A" w:rsidRDefault="00F278DC" w:rsidP="00F278DC">
      <w:pPr>
        <w:jc w:val="both"/>
        <w:rPr>
          <w:rFonts w:ascii="Times New Roman" w:hAnsi="Times New Roman" w:cs="Times New Roman"/>
          <w:lang w:val="en-GB"/>
        </w:rPr>
      </w:pPr>
      <w:r w:rsidRPr="007D0A4A">
        <w:rPr>
          <w:rFonts w:ascii="Times New Roman" w:hAnsi="Times New Roman" w:cs="Times New Roman"/>
          <w:lang w:val="en-GB"/>
        </w:rPr>
        <w:t xml:space="preserve">Unless otherwise defined in this announcement, capitalised words and phrases used in this announcement shall have the same meanings given to them in the </w:t>
      </w:r>
      <w:r>
        <w:rPr>
          <w:rFonts w:ascii="Times New Roman" w:hAnsi="Times New Roman" w:cs="Times New Roman"/>
          <w:lang w:val="en-GB"/>
        </w:rPr>
        <w:t xml:space="preserve">Rule 2.7 </w:t>
      </w:r>
      <w:r w:rsidRPr="007D0A4A">
        <w:rPr>
          <w:rFonts w:ascii="Times New Roman" w:hAnsi="Times New Roman" w:cs="Times New Roman"/>
          <w:lang w:val="en-GB"/>
        </w:rPr>
        <w:t>Announcement.</w:t>
      </w:r>
    </w:p>
    <w:p w14:paraId="07854E11" w14:textId="6B2A07B8" w:rsidR="00C41B3C" w:rsidRDefault="00ED0277" w:rsidP="00ED0277">
      <w:pPr>
        <w:jc w:val="both"/>
        <w:rPr>
          <w:rFonts w:ascii="Times New Roman" w:hAnsi="Times New Roman" w:cs="Times New Roman"/>
        </w:rPr>
      </w:pPr>
      <w:r w:rsidRPr="00ED0277">
        <w:rPr>
          <w:rFonts w:ascii="Times New Roman" w:hAnsi="Times New Roman" w:cs="Times New Roman"/>
        </w:rPr>
        <w:t>As set out in the</w:t>
      </w:r>
      <w:r w:rsidR="00C41B3C">
        <w:rPr>
          <w:rFonts w:ascii="Times New Roman" w:hAnsi="Times New Roman" w:cs="Times New Roman"/>
        </w:rPr>
        <w:t xml:space="preserve"> Rule 2.7</w:t>
      </w:r>
      <w:r w:rsidRPr="00ED0277">
        <w:rPr>
          <w:rFonts w:ascii="Times New Roman" w:hAnsi="Times New Roman" w:cs="Times New Roman"/>
        </w:rPr>
        <w:t xml:space="preserve"> Announcement, </w:t>
      </w:r>
      <w:r>
        <w:rPr>
          <w:rFonts w:ascii="Times New Roman" w:hAnsi="Times New Roman" w:cs="Times New Roman"/>
        </w:rPr>
        <w:t>Bidco</w:t>
      </w:r>
      <w:r w:rsidRPr="00ED0277">
        <w:rPr>
          <w:rFonts w:ascii="Times New Roman" w:hAnsi="Times New Roman" w:cs="Times New Roman"/>
        </w:rPr>
        <w:t xml:space="preserve"> </w:t>
      </w:r>
      <w:r w:rsidR="00C41B3C">
        <w:rPr>
          <w:rFonts w:ascii="Times New Roman" w:hAnsi="Times New Roman" w:cs="Times New Roman"/>
        </w:rPr>
        <w:t xml:space="preserve">and Bagnall </w:t>
      </w:r>
      <w:r w:rsidRPr="00ED0277">
        <w:rPr>
          <w:rFonts w:ascii="Times New Roman" w:hAnsi="Times New Roman" w:cs="Times New Roman"/>
        </w:rPr>
        <w:t xml:space="preserve">had received </w:t>
      </w:r>
      <w:r w:rsidR="00C41B3C">
        <w:rPr>
          <w:rFonts w:ascii="Times New Roman" w:hAnsi="Times New Roman" w:cs="Times New Roman"/>
        </w:rPr>
        <w:t>certain non-binding letters of intent to</w:t>
      </w:r>
      <w:r w:rsidR="006B76DF">
        <w:rPr>
          <w:rFonts w:ascii="Times New Roman" w:hAnsi="Times New Roman" w:cs="Times New Roman"/>
        </w:rPr>
        <w:t>, inter alia,</w:t>
      </w:r>
      <w:r w:rsidR="00C41B3C">
        <w:rPr>
          <w:rFonts w:ascii="Times New Roman" w:hAnsi="Times New Roman" w:cs="Times New Roman"/>
        </w:rPr>
        <w:t xml:space="preserve"> vote in favour of the Scheme at the Court Meeting and in favour of the Resolution</w:t>
      </w:r>
      <w:r w:rsidR="006B76DF">
        <w:rPr>
          <w:rFonts w:ascii="Times New Roman" w:hAnsi="Times New Roman" w:cs="Times New Roman"/>
        </w:rPr>
        <w:t>s</w:t>
      </w:r>
      <w:r w:rsidR="00C41B3C">
        <w:rPr>
          <w:rFonts w:ascii="Times New Roman" w:hAnsi="Times New Roman" w:cs="Times New Roman"/>
        </w:rPr>
        <w:t xml:space="preserve"> to be proposed at the General Meeting.</w:t>
      </w:r>
    </w:p>
    <w:p w14:paraId="323F313D" w14:textId="565ADDAB" w:rsidR="00ED0277" w:rsidRPr="00ED0277" w:rsidRDefault="00C41B3C" w:rsidP="00ED0277">
      <w:pPr>
        <w:jc w:val="both"/>
        <w:rPr>
          <w:rFonts w:ascii="Times New Roman" w:hAnsi="Times New Roman" w:cs="Times New Roman"/>
        </w:rPr>
      </w:pPr>
      <w:r>
        <w:rPr>
          <w:rFonts w:ascii="Times New Roman" w:hAnsi="Times New Roman" w:cs="Times New Roman"/>
        </w:rPr>
        <w:t xml:space="preserve">The non-binding </w:t>
      </w:r>
      <w:r w:rsidR="00ED0277" w:rsidRPr="00ED0277">
        <w:rPr>
          <w:rFonts w:ascii="Times New Roman" w:hAnsi="Times New Roman" w:cs="Times New Roman"/>
        </w:rPr>
        <w:t>a letter of intent</w:t>
      </w:r>
      <w:r>
        <w:rPr>
          <w:rFonts w:ascii="Times New Roman" w:hAnsi="Times New Roman" w:cs="Times New Roman"/>
        </w:rPr>
        <w:t xml:space="preserve"> given by </w:t>
      </w:r>
      <w:r w:rsidR="00ED0277">
        <w:rPr>
          <w:rFonts w:ascii="Times New Roman" w:hAnsi="Times New Roman" w:cs="Times New Roman"/>
        </w:rPr>
        <w:t>Hawksmoor</w:t>
      </w:r>
      <w:r w:rsidR="00ED0277" w:rsidRPr="00ED0277">
        <w:rPr>
          <w:rFonts w:ascii="Times New Roman" w:hAnsi="Times New Roman" w:cs="Times New Roman"/>
        </w:rPr>
        <w:t xml:space="preserve"> </w:t>
      </w:r>
      <w:r w:rsidR="008D15F4">
        <w:rPr>
          <w:rFonts w:ascii="Times New Roman" w:hAnsi="Times New Roman" w:cs="Times New Roman"/>
        </w:rPr>
        <w:t>related to</w:t>
      </w:r>
      <w:r w:rsidR="00ED0277" w:rsidRPr="00ED0277">
        <w:rPr>
          <w:rFonts w:ascii="Times New Roman" w:hAnsi="Times New Roman" w:cs="Times New Roman"/>
        </w:rPr>
        <w:t xml:space="preserve"> a total of </w:t>
      </w:r>
      <w:r w:rsidR="00ED0277" w:rsidRPr="00ED0277">
        <w:rPr>
          <w:rFonts w:ascii="Times New Roman" w:hAnsi="Times New Roman" w:cs="Times New Roman"/>
          <w:lang w:val="en-GB"/>
        </w:rPr>
        <w:t>6,402,668</w:t>
      </w:r>
      <w:r w:rsidR="00ED0277" w:rsidRPr="00ED0277">
        <w:rPr>
          <w:rFonts w:ascii="Times New Roman" w:hAnsi="Times New Roman" w:cs="Times New Roman"/>
        </w:rPr>
        <w:t xml:space="preserve"> </w:t>
      </w:r>
      <w:r w:rsidR="00ED0277">
        <w:rPr>
          <w:rFonts w:ascii="Times New Roman" w:hAnsi="Times New Roman" w:cs="Times New Roman"/>
        </w:rPr>
        <w:t xml:space="preserve">DORE </w:t>
      </w:r>
      <w:r w:rsidR="00ED0277" w:rsidRPr="00ED0277">
        <w:rPr>
          <w:rFonts w:ascii="Times New Roman" w:hAnsi="Times New Roman" w:cs="Times New Roman"/>
        </w:rPr>
        <w:t xml:space="preserve">Shares, representing approximately </w:t>
      </w:r>
      <w:r w:rsidR="00ED0277">
        <w:rPr>
          <w:rFonts w:ascii="Times New Roman" w:hAnsi="Times New Roman" w:cs="Times New Roman"/>
        </w:rPr>
        <w:t>3.76</w:t>
      </w:r>
      <w:r w:rsidR="00ED0277" w:rsidRPr="00ED0277">
        <w:rPr>
          <w:rFonts w:ascii="Times New Roman" w:hAnsi="Times New Roman" w:cs="Times New Roman"/>
        </w:rPr>
        <w:t xml:space="preserve"> per cent of </w:t>
      </w:r>
      <w:r w:rsidR="00BB417E" w:rsidRPr="00BB417E">
        <w:rPr>
          <w:rFonts w:ascii="Times New Roman" w:hAnsi="Times New Roman" w:cs="Times New Roman"/>
        </w:rPr>
        <w:t xml:space="preserve">DORE's issued ordinary share capital </w:t>
      </w:r>
      <w:r w:rsidR="00F53EE9">
        <w:rPr>
          <w:rFonts w:ascii="Times New Roman" w:hAnsi="Times New Roman" w:cs="Times New Roman"/>
        </w:rPr>
        <w:t xml:space="preserve">(excluding any shares held in treasury) </w:t>
      </w:r>
      <w:r w:rsidR="00BB417E">
        <w:rPr>
          <w:rFonts w:ascii="Times New Roman" w:hAnsi="Times New Roman" w:cs="Times New Roman"/>
        </w:rPr>
        <w:t xml:space="preserve">and </w:t>
      </w:r>
      <w:r w:rsidR="00BB417E" w:rsidRPr="00ED0277">
        <w:rPr>
          <w:rFonts w:ascii="Times New Roman" w:hAnsi="Times New Roman" w:cs="Times New Roman"/>
        </w:rPr>
        <w:t xml:space="preserve">approximately </w:t>
      </w:r>
      <w:r w:rsidR="00BB417E">
        <w:rPr>
          <w:rFonts w:ascii="Times New Roman" w:hAnsi="Times New Roman" w:cs="Times New Roman"/>
        </w:rPr>
        <w:t>5.06</w:t>
      </w:r>
      <w:r w:rsidR="00BB417E" w:rsidRPr="00ED0277">
        <w:rPr>
          <w:rFonts w:ascii="Times New Roman" w:hAnsi="Times New Roman" w:cs="Times New Roman"/>
        </w:rPr>
        <w:t xml:space="preserve"> per cent of</w:t>
      </w:r>
      <w:r w:rsidR="00BB417E">
        <w:rPr>
          <w:rFonts w:ascii="Times New Roman" w:hAnsi="Times New Roman" w:cs="Times New Roman"/>
        </w:rPr>
        <w:t xml:space="preserve"> Scheme Voting Shares</w:t>
      </w:r>
      <w:r w:rsidR="00ED0277" w:rsidRPr="00ED0277">
        <w:rPr>
          <w:rFonts w:ascii="Times New Roman" w:hAnsi="Times New Roman" w:cs="Times New Roman"/>
        </w:rPr>
        <w:t xml:space="preserve"> as at the Latest Practicable Date (the "</w:t>
      </w:r>
      <w:r w:rsidR="007D0A4A" w:rsidRPr="007D0A4A">
        <w:rPr>
          <w:rFonts w:ascii="Times New Roman" w:hAnsi="Times New Roman" w:cs="Times New Roman"/>
          <w:b/>
          <w:bCs/>
        </w:rPr>
        <w:t>Hawksmoor</w:t>
      </w:r>
      <w:r w:rsidR="00ED0277" w:rsidRPr="007D0A4A">
        <w:rPr>
          <w:rFonts w:ascii="Times New Roman" w:hAnsi="Times New Roman" w:cs="Times New Roman"/>
          <w:b/>
          <w:bCs/>
        </w:rPr>
        <w:t xml:space="preserve"> Letter of Intent").</w:t>
      </w:r>
    </w:p>
    <w:p w14:paraId="3D50CE4C" w14:textId="3C60AF5D" w:rsidR="00ED0277" w:rsidRPr="00ED0277" w:rsidRDefault="00ED0277" w:rsidP="00ED0277">
      <w:pPr>
        <w:jc w:val="both"/>
        <w:rPr>
          <w:rFonts w:ascii="Times New Roman" w:hAnsi="Times New Roman" w:cs="Times New Roman"/>
        </w:rPr>
      </w:pPr>
      <w:r w:rsidRPr="00ED0277">
        <w:rPr>
          <w:rFonts w:ascii="Times New Roman" w:hAnsi="Times New Roman" w:cs="Times New Roman"/>
        </w:rPr>
        <w:t xml:space="preserve">On </w:t>
      </w:r>
      <w:r w:rsidR="007D0A4A">
        <w:rPr>
          <w:rFonts w:ascii="Times New Roman" w:hAnsi="Times New Roman" w:cs="Times New Roman"/>
        </w:rPr>
        <w:t>1</w:t>
      </w:r>
      <w:r w:rsidRPr="00ED0277">
        <w:rPr>
          <w:rFonts w:ascii="Times New Roman" w:hAnsi="Times New Roman" w:cs="Times New Roman"/>
        </w:rPr>
        <w:t xml:space="preserve"> </w:t>
      </w:r>
      <w:r w:rsidR="007D0A4A">
        <w:rPr>
          <w:rFonts w:ascii="Times New Roman" w:hAnsi="Times New Roman" w:cs="Times New Roman"/>
        </w:rPr>
        <w:t xml:space="preserve">July </w:t>
      </w:r>
      <w:r w:rsidRPr="00ED0277">
        <w:rPr>
          <w:rFonts w:ascii="Times New Roman" w:hAnsi="Times New Roman" w:cs="Times New Roman"/>
        </w:rPr>
        <w:t>202</w:t>
      </w:r>
      <w:r w:rsidR="007D0A4A">
        <w:rPr>
          <w:rFonts w:ascii="Times New Roman" w:hAnsi="Times New Roman" w:cs="Times New Roman"/>
        </w:rPr>
        <w:t>5</w:t>
      </w:r>
      <w:r w:rsidRPr="00ED0277">
        <w:rPr>
          <w:rFonts w:ascii="Times New Roman" w:hAnsi="Times New Roman" w:cs="Times New Roman"/>
        </w:rPr>
        <w:t xml:space="preserve">, </w:t>
      </w:r>
      <w:r w:rsidR="007D0A4A">
        <w:rPr>
          <w:rFonts w:ascii="Times New Roman" w:hAnsi="Times New Roman" w:cs="Times New Roman"/>
        </w:rPr>
        <w:t xml:space="preserve">Hawksmoor </w:t>
      </w:r>
      <w:r w:rsidRPr="00ED0277">
        <w:rPr>
          <w:rFonts w:ascii="Times New Roman" w:hAnsi="Times New Roman" w:cs="Times New Roman"/>
        </w:rPr>
        <w:t xml:space="preserve">confirmed that it </w:t>
      </w:r>
      <w:r w:rsidR="007D0A4A">
        <w:rPr>
          <w:rFonts w:ascii="Times New Roman" w:hAnsi="Times New Roman" w:cs="Times New Roman"/>
        </w:rPr>
        <w:t>sold</w:t>
      </w:r>
      <w:r w:rsidRPr="00ED0277">
        <w:rPr>
          <w:rFonts w:ascii="Times New Roman" w:hAnsi="Times New Roman" w:cs="Times New Roman"/>
        </w:rPr>
        <w:t xml:space="preserve"> </w:t>
      </w:r>
      <w:r w:rsidR="007D0A4A">
        <w:rPr>
          <w:rFonts w:ascii="Times New Roman" w:hAnsi="Times New Roman" w:cs="Times New Roman"/>
        </w:rPr>
        <w:t>2,930,000</w:t>
      </w:r>
      <w:r w:rsidRPr="00ED0277">
        <w:rPr>
          <w:rFonts w:ascii="Times New Roman" w:hAnsi="Times New Roman" w:cs="Times New Roman"/>
        </w:rPr>
        <w:t xml:space="preserve"> </w:t>
      </w:r>
      <w:r w:rsidR="007D0A4A">
        <w:rPr>
          <w:rFonts w:ascii="Times New Roman" w:hAnsi="Times New Roman" w:cs="Times New Roman"/>
        </w:rPr>
        <w:t xml:space="preserve">DORE </w:t>
      </w:r>
      <w:r w:rsidRPr="00ED0277">
        <w:rPr>
          <w:rFonts w:ascii="Times New Roman" w:hAnsi="Times New Roman" w:cs="Times New Roman"/>
        </w:rPr>
        <w:t>Shares that were subject to the</w:t>
      </w:r>
      <w:r w:rsidR="007D0A4A">
        <w:rPr>
          <w:rFonts w:ascii="Times New Roman" w:hAnsi="Times New Roman" w:cs="Times New Roman"/>
        </w:rPr>
        <w:t xml:space="preserve"> Hawksmoor</w:t>
      </w:r>
      <w:r w:rsidRPr="00ED0277">
        <w:rPr>
          <w:rFonts w:ascii="Times New Roman" w:hAnsi="Times New Roman" w:cs="Times New Roman"/>
        </w:rPr>
        <w:t xml:space="preserve"> Letter of Intent (the "</w:t>
      </w:r>
      <w:r w:rsidRPr="007D0A4A">
        <w:rPr>
          <w:rFonts w:ascii="Times New Roman" w:hAnsi="Times New Roman" w:cs="Times New Roman"/>
          <w:b/>
          <w:bCs/>
        </w:rPr>
        <w:t>Sold Shares</w:t>
      </w:r>
      <w:r w:rsidRPr="00ED0277">
        <w:rPr>
          <w:rFonts w:ascii="Times New Roman" w:hAnsi="Times New Roman" w:cs="Times New Roman"/>
        </w:rPr>
        <w:t>")</w:t>
      </w:r>
      <w:r w:rsidR="004E3459">
        <w:rPr>
          <w:rFonts w:ascii="Times New Roman" w:hAnsi="Times New Roman" w:cs="Times New Roman"/>
        </w:rPr>
        <w:t xml:space="preserve"> and </w:t>
      </w:r>
      <w:r w:rsidR="006B76DF">
        <w:rPr>
          <w:rFonts w:ascii="Times New Roman" w:hAnsi="Times New Roman" w:cs="Times New Roman"/>
        </w:rPr>
        <w:t xml:space="preserve">that </w:t>
      </w:r>
      <w:r w:rsidR="008C1B05">
        <w:rPr>
          <w:rFonts w:ascii="Times New Roman" w:hAnsi="Times New Roman" w:cs="Times New Roman"/>
        </w:rPr>
        <w:t>it</w:t>
      </w:r>
      <w:r w:rsidR="006B76DF">
        <w:rPr>
          <w:rFonts w:ascii="Times New Roman" w:hAnsi="Times New Roman" w:cs="Times New Roman"/>
        </w:rPr>
        <w:t xml:space="preserve"> was, therefore,</w:t>
      </w:r>
      <w:r w:rsidR="004E3459">
        <w:rPr>
          <w:rFonts w:ascii="Times New Roman" w:hAnsi="Times New Roman" w:cs="Times New Roman"/>
        </w:rPr>
        <w:t xml:space="preserve"> no longer in a position to vote the Sold Shares in favour of the Scheme at the Court Meting and in favour of the Resolution</w:t>
      </w:r>
      <w:r w:rsidR="00F53EE9">
        <w:rPr>
          <w:rFonts w:ascii="Times New Roman" w:hAnsi="Times New Roman" w:cs="Times New Roman"/>
        </w:rPr>
        <w:t>s</w:t>
      </w:r>
      <w:r w:rsidR="004E3459">
        <w:rPr>
          <w:rFonts w:ascii="Times New Roman" w:hAnsi="Times New Roman" w:cs="Times New Roman"/>
        </w:rPr>
        <w:t xml:space="preserve"> to be proposed at the General Meeting</w:t>
      </w:r>
      <w:r w:rsidRPr="00ED0277">
        <w:rPr>
          <w:rFonts w:ascii="Times New Roman" w:hAnsi="Times New Roman" w:cs="Times New Roman"/>
        </w:rPr>
        <w:t xml:space="preserve">. </w:t>
      </w:r>
    </w:p>
    <w:p w14:paraId="1F56738F" w14:textId="3DC14AF2" w:rsidR="007D0A4A" w:rsidRPr="007D0A4A" w:rsidRDefault="007D0A4A" w:rsidP="007D0A4A">
      <w:pPr>
        <w:rPr>
          <w:rFonts w:ascii="Times New Roman" w:hAnsi="Times New Roman" w:cs="Times New Roman"/>
          <w:lang w:val="en-GB"/>
        </w:rPr>
      </w:pPr>
      <w:r w:rsidRPr="007D0A4A">
        <w:rPr>
          <w:rFonts w:ascii="Times New Roman" w:hAnsi="Times New Roman" w:cs="Times New Roman"/>
          <w:lang w:val="en-GB"/>
        </w:rPr>
        <w:t xml:space="preserve">As a result, following completion of the sale of the </w:t>
      </w:r>
      <w:r w:rsidR="001F2CB5">
        <w:rPr>
          <w:rFonts w:ascii="Times New Roman" w:hAnsi="Times New Roman" w:cs="Times New Roman"/>
          <w:lang w:val="en-GB"/>
        </w:rPr>
        <w:t>S</w:t>
      </w:r>
      <w:r w:rsidRPr="007D0A4A">
        <w:rPr>
          <w:rFonts w:ascii="Times New Roman" w:hAnsi="Times New Roman" w:cs="Times New Roman"/>
          <w:lang w:val="en-GB"/>
        </w:rPr>
        <w:t>old Shares:</w:t>
      </w:r>
    </w:p>
    <w:p w14:paraId="529BE521" w14:textId="414559BC" w:rsidR="007D0A4A" w:rsidRPr="00BB417E" w:rsidRDefault="007D0A4A" w:rsidP="00BB417E">
      <w:pPr>
        <w:pStyle w:val="ListParagraph"/>
        <w:numPr>
          <w:ilvl w:val="0"/>
          <w:numId w:val="11"/>
        </w:numPr>
        <w:jc w:val="both"/>
        <w:rPr>
          <w:rFonts w:ascii="Times New Roman" w:hAnsi="Times New Roman" w:cs="Times New Roman"/>
          <w:lang w:val="en-GB"/>
        </w:rPr>
      </w:pPr>
      <w:r w:rsidRPr="007D0A4A">
        <w:rPr>
          <w:rFonts w:ascii="Times New Roman" w:hAnsi="Times New Roman" w:cs="Times New Roman"/>
          <w:lang w:val="en-GB"/>
        </w:rPr>
        <w:lastRenderedPageBreak/>
        <w:t>the total number of</w:t>
      </w:r>
      <w:r>
        <w:rPr>
          <w:rFonts w:ascii="Times New Roman" w:hAnsi="Times New Roman" w:cs="Times New Roman"/>
          <w:lang w:val="en-GB"/>
        </w:rPr>
        <w:t xml:space="preserve"> DORE</w:t>
      </w:r>
      <w:r w:rsidRPr="007D0A4A">
        <w:rPr>
          <w:rFonts w:ascii="Times New Roman" w:hAnsi="Times New Roman" w:cs="Times New Roman"/>
          <w:lang w:val="en-GB"/>
        </w:rPr>
        <w:t xml:space="preserve"> Shares which are subject to the</w:t>
      </w:r>
      <w:r>
        <w:rPr>
          <w:rFonts w:ascii="Times New Roman" w:hAnsi="Times New Roman" w:cs="Times New Roman"/>
          <w:lang w:val="en-GB"/>
        </w:rPr>
        <w:t xml:space="preserve"> Hawksmoor</w:t>
      </w:r>
      <w:r w:rsidRPr="007D0A4A">
        <w:rPr>
          <w:rFonts w:ascii="Times New Roman" w:hAnsi="Times New Roman" w:cs="Times New Roman"/>
          <w:lang w:val="en-GB"/>
        </w:rPr>
        <w:t xml:space="preserve"> Letter of Intent has reduced to </w:t>
      </w:r>
      <w:r w:rsidR="0028534F" w:rsidRPr="0077528F">
        <w:rPr>
          <w:rFonts w:ascii="Times New Roman" w:hAnsi="Times New Roman" w:cs="Times New Roman"/>
          <w:bCs/>
        </w:rPr>
        <w:t>3,472,668</w:t>
      </w:r>
      <w:r w:rsidRPr="007D0A4A">
        <w:rPr>
          <w:rFonts w:ascii="Times New Roman" w:hAnsi="Times New Roman" w:cs="Times New Roman"/>
          <w:lang w:val="en-GB"/>
        </w:rPr>
        <w:t> </w:t>
      </w:r>
      <w:r>
        <w:rPr>
          <w:rFonts w:ascii="Times New Roman" w:hAnsi="Times New Roman" w:cs="Times New Roman"/>
          <w:lang w:val="en-GB"/>
        </w:rPr>
        <w:t xml:space="preserve">DORE </w:t>
      </w:r>
      <w:r w:rsidRPr="007D0A4A">
        <w:rPr>
          <w:rFonts w:ascii="Times New Roman" w:hAnsi="Times New Roman" w:cs="Times New Roman"/>
          <w:lang w:val="en-GB"/>
        </w:rPr>
        <w:t xml:space="preserve">Shares, representing </w:t>
      </w:r>
      <w:r w:rsidRPr="00E333E6">
        <w:rPr>
          <w:rFonts w:ascii="Times New Roman" w:hAnsi="Times New Roman" w:cs="Times New Roman"/>
          <w:lang w:val="en-GB"/>
        </w:rPr>
        <w:t xml:space="preserve">approximately </w:t>
      </w:r>
      <w:r w:rsidR="0028534F" w:rsidRPr="0077528F">
        <w:rPr>
          <w:rFonts w:ascii="Times New Roman" w:hAnsi="Times New Roman" w:cs="Times New Roman"/>
          <w:bCs/>
        </w:rPr>
        <w:t>2.04</w:t>
      </w:r>
      <w:r w:rsidRPr="00E333E6">
        <w:rPr>
          <w:rFonts w:ascii="Times New Roman" w:hAnsi="Times New Roman" w:cs="Times New Roman"/>
          <w:lang w:val="en-GB"/>
        </w:rPr>
        <w:t xml:space="preserve"> per</w:t>
      </w:r>
      <w:r w:rsidRPr="007D0A4A">
        <w:rPr>
          <w:rFonts w:ascii="Times New Roman" w:hAnsi="Times New Roman" w:cs="Times New Roman"/>
          <w:lang w:val="en-GB"/>
        </w:rPr>
        <w:t xml:space="preserve"> cent </w:t>
      </w:r>
      <w:r w:rsidR="00BB417E" w:rsidRPr="00BB417E">
        <w:rPr>
          <w:rFonts w:ascii="Times New Roman" w:hAnsi="Times New Roman" w:cs="Times New Roman"/>
          <w:lang w:val="en-GB"/>
        </w:rPr>
        <w:t xml:space="preserve">of DORE's issued ordinary share capital </w:t>
      </w:r>
      <w:r w:rsidR="00F53EE9">
        <w:rPr>
          <w:rFonts w:ascii="Times New Roman" w:hAnsi="Times New Roman" w:cs="Times New Roman"/>
          <w:lang w:val="en-GB"/>
        </w:rPr>
        <w:t xml:space="preserve">(excluding any shares held in treasury) </w:t>
      </w:r>
      <w:r w:rsidR="00BB417E" w:rsidRPr="00BB417E">
        <w:rPr>
          <w:rFonts w:ascii="Times New Roman" w:hAnsi="Times New Roman" w:cs="Times New Roman"/>
          <w:lang w:val="en-GB"/>
        </w:rPr>
        <w:t>and</w:t>
      </w:r>
      <w:r w:rsidR="0028534F">
        <w:rPr>
          <w:rFonts w:ascii="Times New Roman" w:hAnsi="Times New Roman" w:cs="Times New Roman"/>
          <w:lang w:val="en-GB"/>
        </w:rPr>
        <w:t xml:space="preserve"> 2.7</w:t>
      </w:r>
      <w:r w:rsidR="00E64775">
        <w:rPr>
          <w:rFonts w:ascii="Times New Roman" w:hAnsi="Times New Roman" w:cs="Times New Roman"/>
          <w:lang w:val="en-GB"/>
        </w:rPr>
        <w:t>4</w:t>
      </w:r>
      <w:r w:rsidR="00BB417E" w:rsidRPr="00BB417E">
        <w:rPr>
          <w:bCs/>
        </w:rPr>
        <w:t xml:space="preserve"> </w:t>
      </w:r>
      <w:r w:rsidR="00BB417E" w:rsidRPr="00BB417E">
        <w:rPr>
          <w:rFonts w:ascii="Times New Roman" w:hAnsi="Times New Roman" w:cs="Times New Roman"/>
          <w:lang w:val="en-GB"/>
        </w:rPr>
        <w:t xml:space="preserve">per cent of the Scheme Voting Shares, </w:t>
      </w:r>
      <w:r w:rsidRPr="00BB417E">
        <w:rPr>
          <w:rFonts w:ascii="Times New Roman" w:hAnsi="Times New Roman" w:cs="Times New Roman"/>
          <w:lang w:val="en-GB"/>
        </w:rPr>
        <w:t xml:space="preserve">as at close of business on 1 July 2025, being the last </w:t>
      </w:r>
      <w:r w:rsidR="00E333E6">
        <w:rPr>
          <w:rFonts w:ascii="Times New Roman" w:hAnsi="Times New Roman" w:cs="Times New Roman"/>
          <w:lang w:val="en-GB"/>
        </w:rPr>
        <w:t>B</w:t>
      </w:r>
      <w:r w:rsidRPr="00BB417E">
        <w:rPr>
          <w:rFonts w:ascii="Times New Roman" w:hAnsi="Times New Roman" w:cs="Times New Roman"/>
          <w:lang w:val="en-GB"/>
        </w:rPr>
        <w:t xml:space="preserve">usiness </w:t>
      </w:r>
      <w:r w:rsidR="00E333E6">
        <w:rPr>
          <w:rFonts w:ascii="Times New Roman" w:hAnsi="Times New Roman" w:cs="Times New Roman"/>
          <w:lang w:val="en-GB"/>
        </w:rPr>
        <w:t>D</w:t>
      </w:r>
      <w:r w:rsidRPr="00BB417E">
        <w:rPr>
          <w:rFonts w:ascii="Times New Roman" w:hAnsi="Times New Roman" w:cs="Times New Roman"/>
          <w:lang w:val="en-GB"/>
        </w:rPr>
        <w:t>a</w:t>
      </w:r>
      <w:r w:rsidR="00B86485">
        <w:rPr>
          <w:rFonts w:ascii="Times New Roman" w:hAnsi="Times New Roman" w:cs="Times New Roman"/>
          <w:lang w:val="en-GB"/>
        </w:rPr>
        <w:t>y</w:t>
      </w:r>
      <w:r w:rsidRPr="00BB417E">
        <w:rPr>
          <w:rFonts w:ascii="Times New Roman" w:hAnsi="Times New Roman" w:cs="Times New Roman"/>
          <w:lang w:val="en-GB"/>
        </w:rPr>
        <w:t xml:space="preserve"> prior to this announcement; and</w:t>
      </w:r>
    </w:p>
    <w:p w14:paraId="14250CA1" w14:textId="77777777" w:rsidR="007D0A4A" w:rsidRPr="007D0A4A" w:rsidRDefault="007D0A4A" w:rsidP="007D0A4A">
      <w:pPr>
        <w:pStyle w:val="ListParagraph"/>
        <w:jc w:val="both"/>
        <w:rPr>
          <w:rFonts w:ascii="Times New Roman" w:hAnsi="Times New Roman" w:cs="Times New Roman"/>
          <w:lang w:val="en-GB"/>
        </w:rPr>
      </w:pPr>
    </w:p>
    <w:p w14:paraId="41B1F4F6" w14:textId="661F80C0" w:rsidR="007D0A4A" w:rsidRPr="007D0A4A" w:rsidRDefault="007D0A4A" w:rsidP="007D0A4A">
      <w:pPr>
        <w:pStyle w:val="ListParagraph"/>
        <w:numPr>
          <w:ilvl w:val="0"/>
          <w:numId w:val="11"/>
        </w:numPr>
        <w:jc w:val="both"/>
        <w:rPr>
          <w:rFonts w:ascii="Times New Roman" w:hAnsi="Times New Roman" w:cs="Times New Roman"/>
          <w:lang w:val="en-GB"/>
        </w:rPr>
      </w:pPr>
      <w:r w:rsidRPr="007D0A4A">
        <w:rPr>
          <w:rFonts w:ascii="Times New Roman" w:hAnsi="Times New Roman" w:cs="Times New Roman"/>
          <w:lang w:val="en-GB"/>
        </w:rPr>
        <w:t xml:space="preserve">the total number of </w:t>
      </w:r>
      <w:r>
        <w:rPr>
          <w:rFonts w:ascii="Times New Roman" w:hAnsi="Times New Roman" w:cs="Times New Roman"/>
          <w:lang w:val="en-GB"/>
        </w:rPr>
        <w:t>DORE</w:t>
      </w:r>
      <w:r w:rsidRPr="007D0A4A">
        <w:rPr>
          <w:rFonts w:ascii="Times New Roman" w:hAnsi="Times New Roman" w:cs="Times New Roman"/>
          <w:lang w:val="en-GB"/>
        </w:rPr>
        <w:t xml:space="preserve"> Shares which are subject to irrevocable undertakings and  letter</w:t>
      </w:r>
      <w:r w:rsidR="00B86485">
        <w:rPr>
          <w:rFonts w:ascii="Times New Roman" w:hAnsi="Times New Roman" w:cs="Times New Roman"/>
          <w:lang w:val="en-GB"/>
        </w:rPr>
        <w:t>s</w:t>
      </w:r>
      <w:r w:rsidRPr="007D0A4A">
        <w:rPr>
          <w:rFonts w:ascii="Times New Roman" w:hAnsi="Times New Roman" w:cs="Times New Roman"/>
          <w:lang w:val="en-GB"/>
        </w:rPr>
        <w:t xml:space="preserve"> of intent has reduced to </w:t>
      </w:r>
      <w:r w:rsidR="0028534F">
        <w:rPr>
          <w:rFonts w:ascii="Times New Roman" w:hAnsi="Times New Roman" w:cs="Times New Roman"/>
          <w:lang w:val="en-GB"/>
        </w:rPr>
        <w:t>25,596,111</w:t>
      </w:r>
      <w:r>
        <w:rPr>
          <w:bCs/>
        </w:rPr>
        <w:t xml:space="preserve"> </w:t>
      </w:r>
      <w:r>
        <w:rPr>
          <w:rFonts w:ascii="Times New Roman" w:hAnsi="Times New Roman" w:cs="Times New Roman"/>
          <w:lang w:val="en-GB"/>
        </w:rPr>
        <w:t>DORE</w:t>
      </w:r>
      <w:r w:rsidRPr="007D0A4A">
        <w:rPr>
          <w:rFonts w:ascii="Times New Roman" w:hAnsi="Times New Roman" w:cs="Times New Roman"/>
          <w:lang w:val="en-GB"/>
        </w:rPr>
        <w:t xml:space="preserve"> Shares, representing </w:t>
      </w:r>
      <w:r w:rsidRPr="00B86485">
        <w:rPr>
          <w:rFonts w:ascii="Times New Roman" w:hAnsi="Times New Roman" w:cs="Times New Roman"/>
          <w:lang w:val="en-GB"/>
        </w:rPr>
        <w:t xml:space="preserve">approximately </w:t>
      </w:r>
      <w:r w:rsidR="0028534F" w:rsidRPr="0077528F">
        <w:rPr>
          <w:rFonts w:ascii="Times New Roman" w:hAnsi="Times New Roman" w:cs="Times New Roman"/>
          <w:bCs/>
        </w:rPr>
        <w:t>15.0</w:t>
      </w:r>
      <w:r w:rsidR="00E64775">
        <w:rPr>
          <w:rFonts w:ascii="Times New Roman" w:hAnsi="Times New Roman" w:cs="Times New Roman"/>
          <w:bCs/>
        </w:rPr>
        <w:t>4</w:t>
      </w:r>
      <w:r w:rsidRPr="00B86485">
        <w:rPr>
          <w:rFonts w:ascii="Times New Roman" w:hAnsi="Times New Roman" w:cs="Times New Roman"/>
          <w:lang w:val="en-GB"/>
        </w:rPr>
        <w:t xml:space="preserve"> per cent </w:t>
      </w:r>
      <w:r w:rsidR="00BB417E" w:rsidRPr="00B86485">
        <w:rPr>
          <w:rFonts w:ascii="Times New Roman" w:hAnsi="Times New Roman" w:cs="Times New Roman"/>
          <w:lang w:val="en-GB"/>
        </w:rPr>
        <w:t xml:space="preserve">of DORE's issued ordinary share capital </w:t>
      </w:r>
      <w:r w:rsidR="00F53EE9">
        <w:rPr>
          <w:rFonts w:ascii="Times New Roman" w:hAnsi="Times New Roman" w:cs="Times New Roman"/>
          <w:lang w:val="en-GB"/>
        </w:rPr>
        <w:t xml:space="preserve">(excluding any shares held in treasury) </w:t>
      </w:r>
      <w:r w:rsidR="00BB417E" w:rsidRPr="00B86485">
        <w:rPr>
          <w:rFonts w:ascii="Times New Roman" w:hAnsi="Times New Roman" w:cs="Times New Roman"/>
          <w:lang w:val="en-GB"/>
        </w:rPr>
        <w:t xml:space="preserve">and </w:t>
      </w:r>
      <w:r w:rsidR="0028534F" w:rsidRPr="0077528F">
        <w:rPr>
          <w:rFonts w:ascii="Times New Roman" w:hAnsi="Times New Roman" w:cs="Times New Roman"/>
          <w:bCs/>
        </w:rPr>
        <w:t>20.23</w:t>
      </w:r>
      <w:r w:rsidR="00BB417E" w:rsidRPr="0077528F">
        <w:rPr>
          <w:rFonts w:ascii="Times New Roman" w:hAnsi="Times New Roman" w:cs="Times New Roman"/>
          <w:bCs/>
        </w:rPr>
        <w:t xml:space="preserve"> </w:t>
      </w:r>
      <w:r w:rsidR="00BB417E" w:rsidRPr="00B86485">
        <w:rPr>
          <w:rFonts w:ascii="Times New Roman" w:hAnsi="Times New Roman" w:cs="Times New Roman"/>
          <w:lang w:val="en-GB"/>
        </w:rPr>
        <w:t>per cent of the Scheme Voting</w:t>
      </w:r>
      <w:r w:rsidR="00BB417E" w:rsidRPr="00BB417E">
        <w:rPr>
          <w:rFonts w:ascii="Times New Roman" w:hAnsi="Times New Roman" w:cs="Times New Roman"/>
          <w:lang w:val="en-GB"/>
        </w:rPr>
        <w:t xml:space="preserve"> Shares</w:t>
      </w:r>
      <w:r w:rsidR="00BB417E">
        <w:rPr>
          <w:rFonts w:ascii="Times New Roman" w:hAnsi="Times New Roman" w:cs="Times New Roman"/>
          <w:lang w:val="en-GB"/>
        </w:rPr>
        <w:t>,</w:t>
      </w:r>
      <w:r w:rsidRPr="007D0A4A">
        <w:rPr>
          <w:rFonts w:ascii="Times New Roman" w:hAnsi="Times New Roman" w:cs="Times New Roman"/>
          <w:lang w:val="en-GB"/>
        </w:rPr>
        <w:t xml:space="preserve"> as at close of business on </w:t>
      </w:r>
      <w:r>
        <w:rPr>
          <w:rFonts w:ascii="Times New Roman" w:hAnsi="Times New Roman" w:cs="Times New Roman"/>
          <w:lang w:val="en-GB"/>
        </w:rPr>
        <w:t>1 July</w:t>
      </w:r>
      <w:r w:rsidRPr="007D0A4A">
        <w:rPr>
          <w:rFonts w:ascii="Times New Roman" w:hAnsi="Times New Roman" w:cs="Times New Roman"/>
          <w:lang w:val="en-GB"/>
        </w:rPr>
        <w:t xml:space="preserve"> 202</w:t>
      </w:r>
      <w:r>
        <w:rPr>
          <w:rFonts w:ascii="Times New Roman" w:hAnsi="Times New Roman" w:cs="Times New Roman"/>
          <w:lang w:val="en-GB"/>
        </w:rPr>
        <w:t>5</w:t>
      </w:r>
      <w:r w:rsidRPr="007D0A4A">
        <w:rPr>
          <w:rFonts w:ascii="Times New Roman" w:hAnsi="Times New Roman" w:cs="Times New Roman"/>
          <w:lang w:val="en-GB"/>
        </w:rPr>
        <w:t xml:space="preserve">, being the last </w:t>
      </w:r>
      <w:r w:rsidR="00B86485">
        <w:rPr>
          <w:rFonts w:ascii="Times New Roman" w:hAnsi="Times New Roman" w:cs="Times New Roman"/>
          <w:lang w:val="en-GB"/>
        </w:rPr>
        <w:t>B</w:t>
      </w:r>
      <w:r w:rsidRPr="007D0A4A">
        <w:rPr>
          <w:rFonts w:ascii="Times New Roman" w:hAnsi="Times New Roman" w:cs="Times New Roman"/>
          <w:lang w:val="en-GB"/>
        </w:rPr>
        <w:t xml:space="preserve">usiness </w:t>
      </w:r>
      <w:r w:rsidR="00B86485">
        <w:rPr>
          <w:rFonts w:ascii="Times New Roman" w:hAnsi="Times New Roman" w:cs="Times New Roman"/>
          <w:lang w:val="en-GB"/>
        </w:rPr>
        <w:t>D</w:t>
      </w:r>
      <w:r w:rsidRPr="007D0A4A">
        <w:rPr>
          <w:rFonts w:ascii="Times New Roman" w:hAnsi="Times New Roman" w:cs="Times New Roman"/>
          <w:lang w:val="en-GB"/>
        </w:rPr>
        <w:t>a</w:t>
      </w:r>
      <w:r w:rsidR="00B86485">
        <w:rPr>
          <w:rFonts w:ascii="Times New Roman" w:hAnsi="Times New Roman" w:cs="Times New Roman"/>
          <w:lang w:val="en-GB"/>
        </w:rPr>
        <w:t>y</w:t>
      </w:r>
      <w:r w:rsidRPr="007D0A4A">
        <w:rPr>
          <w:rFonts w:ascii="Times New Roman" w:hAnsi="Times New Roman" w:cs="Times New Roman"/>
          <w:lang w:val="en-GB"/>
        </w:rPr>
        <w:t xml:space="preserve"> prior to this announcement.</w:t>
      </w:r>
    </w:p>
    <w:p w14:paraId="491E0C49" w14:textId="77777777" w:rsidR="00ED0277" w:rsidRPr="007D0A4A" w:rsidRDefault="00ED0277" w:rsidP="008613C5">
      <w:pPr>
        <w:rPr>
          <w:rFonts w:ascii="Times New Roman" w:hAnsi="Times New Roman" w:cs="Times New Roman"/>
        </w:rPr>
      </w:pPr>
    </w:p>
    <w:p w14:paraId="56D5675B" w14:textId="77777777" w:rsidR="00A943AB" w:rsidRPr="007D0A4A" w:rsidRDefault="00A943AB" w:rsidP="00A943AB">
      <w:pPr>
        <w:pStyle w:val="AOA"/>
        <w:numPr>
          <w:ilvl w:val="0"/>
          <w:numId w:val="0"/>
        </w:numPr>
        <w:ind w:left="720" w:hanging="720"/>
        <w:jc w:val="left"/>
      </w:pPr>
      <w:r w:rsidRPr="007D0A4A">
        <w:rPr>
          <w:b/>
        </w:rPr>
        <w:t>Enquiries</w:t>
      </w:r>
      <w:r w:rsidRPr="007D0A4A">
        <w:t xml:space="preserve">: </w:t>
      </w:r>
      <w:r w:rsidRPr="007D0A4A">
        <w:br/>
      </w:r>
    </w:p>
    <w:tbl>
      <w:tblPr>
        <w:tblW w:w="8894" w:type="dxa"/>
        <w:tblInd w:w="108" w:type="dxa"/>
        <w:tblLook w:val="04A0" w:firstRow="1" w:lastRow="0" w:firstColumn="1" w:lastColumn="0" w:noHBand="0" w:noVBand="1"/>
      </w:tblPr>
      <w:tblGrid>
        <w:gridCol w:w="4945"/>
        <w:gridCol w:w="3949"/>
      </w:tblGrid>
      <w:tr w:rsidR="00A943AB" w:rsidRPr="007D0A4A" w14:paraId="0267478E" w14:textId="77777777" w:rsidTr="00A943AB">
        <w:trPr>
          <w:trHeight w:val="1750"/>
        </w:trPr>
        <w:tc>
          <w:tcPr>
            <w:tcW w:w="4945" w:type="dxa"/>
          </w:tcPr>
          <w:p w14:paraId="53EAF8E8" w14:textId="77777777" w:rsidR="00A943AB" w:rsidRPr="007D0A4A" w:rsidRDefault="00A943AB" w:rsidP="00B21AA4">
            <w:pPr>
              <w:pStyle w:val="AODocTxt"/>
              <w:spacing w:before="0"/>
            </w:pPr>
            <w:r w:rsidRPr="007D0A4A">
              <w:rPr>
                <w:b/>
              </w:rPr>
              <w:t>Dickson Minto Advisers (Financial Adviser to Bidco and Bagnall)</w:t>
            </w:r>
          </w:p>
          <w:p w14:paraId="785BB6DE" w14:textId="77777777" w:rsidR="00A943AB" w:rsidRPr="007D0A4A" w:rsidRDefault="00A943AB" w:rsidP="00B21AA4">
            <w:pPr>
              <w:pStyle w:val="AODocTxt"/>
              <w:spacing w:before="0"/>
            </w:pPr>
            <w:r w:rsidRPr="007D0A4A">
              <w:t>Douglas Armstrong</w:t>
            </w:r>
          </w:p>
          <w:p w14:paraId="718353A3" w14:textId="77777777" w:rsidR="00A943AB" w:rsidRPr="007D0A4A" w:rsidRDefault="00A943AB" w:rsidP="00B21AA4">
            <w:pPr>
              <w:pStyle w:val="AODocTxt"/>
              <w:spacing w:before="0"/>
            </w:pPr>
            <w:r w:rsidRPr="007D0A4A">
              <w:t>Andrew Manson</w:t>
            </w:r>
          </w:p>
        </w:tc>
        <w:tc>
          <w:tcPr>
            <w:tcW w:w="3949" w:type="dxa"/>
          </w:tcPr>
          <w:p w14:paraId="562C911F" w14:textId="77777777" w:rsidR="00A943AB" w:rsidRPr="007D0A4A" w:rsidRDefault="00A943AB" w:rsidP="00B21AA4">
            <w:pPr>
              <w:pStyle w:val="NoSpacing"/>
              <w:jc w:val="right"/>
            </w:pPr>
          </w:p>
          <w:p w14:paraId="06C82450" w14:textId="77777777" w:rsidR="00A943AB" w:rsidRPr="007D0A4A" w:rsidRDefault="00A943AB" w:rsidP="00B21AA4">
            <w:pPr>
              <w:pStyle w:val="NoSpacing"/>
              <w:jc w:val="right"/>
            </w:pPr>
          </w:p>
          <w:p w14:paraId="4725C091" w14:textId="77777777" w:rsidR="00A943AB" w:rsidRPr="007D0A4A" w:rsidRDefault="00A943AB" w:rsidP="00B21AA4">
            <w:pPr>
              <w:pStyle w:val="NoSpacing"/>
              <w:jc w:val="right"/>
            </w:pPr>
            <w:r w:rsidRPr="007D0A4A">
              <w:t xml:space="preserve">Tel: +44 (0) 20 7649 6823 </w:t>
            </w:r>
          </w:p>
          <w:p w14:paraId="0E595AAA" w14:textId="77777777" w:rsidR="00A943AB" w:rsidRPr="007D0A4A" w:rsidRDefault="00A943AB" w:rsidP="00B21AA4">
            <w:pPr>
              <w:pStyle w:val="NoSpacing"/>
              <w:jc w:val="right"/>
            </w:pPr>
            <w:r w:rsidRPr="007D0A4A">
              <w:t>Tel: +44 (0) 131 200 1605</w:t>
            </w:r>
          </w:p>
          <w:p w14:paraId="14F7D306" w14:textId="77777777" w:rsidR="00A943AB" w:rsidRPr="007D0A4A" w:rsidRDefault="00A943AB" w:rsidP="00B21AA4">
            <w:pPr>
              <w:pStyle w:val="AONormal"/>
            </w:pPr>
          </w:p>
        </w:tc>
      </w:tr>
      <w:tr w:rsidR="00A943AB" w:rsidRPr="007D0A4A" w14:paraId="530771BC" w14:textId="77777777" w:rsidTr="00A943AB">
        <w:trPr>
          <w:trHeight w:val="1770"/>
        </w:trPr>
        <w:tc>
          <w:tcPr>
            <w:tcW w:w="4945" w:type="dxa"/>
          </w:tcPr>
          <w:p w14:paraId="4F30B2CE" w14:textId="77777777" w:rsidR="00A943AB" w:rsidRPr="007D0A4A" w:rsidRDefault="00A943AB" w:rsidP="00B21AA4">
            <w:pPr>
              <w:pStyle w:val="AODocTxt"/>
              <w:spacing w:before="0"/>
              <w:rPr>
                <w:b/>
              </w:rPr>
            </w:pPr>
            <w:r w:rsidRPr="007D0A4A">
              <w:rPr>
                <w:b/>
              </w:rPr>
              <w:t xml:space="preserve">Bagnall </w:t>
            </w:r>
          </w:p>
          <w:p w14:paraId="1A4866BA" w14:textId="77777777" w:rsidR="00A943AB" w:rsidRPr="007D0A4A" w:rsidRDefault="00A943AB" w:rsidP="00B21AA4">
            <w:pPr>
              <w:pStyle w:val="AODocTxt"/>
              <w:spacing w:before="0"/>
              <w:rPr>
                <w:bCs/>
              </w:rPr>
            </w:pPr>
            <w:r w:rsidRPr="007D0A4A">
              <w:rPr>
                <w:bCs/>
              </w:rPr>
              <w:t>James Watson (Chair)</w:t>
            </w:r>
          </w:p>
          <w:p w14:paraId="6699A889" w14:textId="77777777" w:rsidR="00A943AB" w:rsidRPr="007D0A4A" w:rsidRDefault="00A943AB" w:rsidP="00B21AA4">
            <w:pPr>
              <w:pStyle w:val="AODocTxt"/>
              <w:spacing w:before="0"/>
              <w:rPr>
                <w:bCs/>
              </w:rPr>
            </w:pPr>
            <w:r w:rsidRPr="007D0A4A">
              <w:rPr>
                <w:bCs/>
              </w:rPr>
              <w:t>Tony McGing</w:t>
            </w:r>
          </w:p>
          <w:p w14:paraId="2FE38E1A" w14:textId="77777777" w:rsidR="00A943AB" w:rsidRPr="007D0A4A" w:rsidRDefault="00A943AB" w:rsidP="00B21AA4">
            <w:pPr>
              <w:pStyle w:val="AODocTxt"/>
              <w:spacing w:before="0"/>
              <w:rPr>
                <w:bCs/>
              </w:rPr>
            </w:pPr>
            <w:r w:rsidRPr="007D0A4A">
              <w:rPr>
                <w:bCs/>
              </w:rPr>
              <w:t>Judith MacKenzie</w:t>
            </w:r>
          </w:p>
          <w:p w14:paraId="47CF385D" w14:textId="77777777" w:rsidR="00A943AB" w:rsidRPr="007D0A4A" w:rsidRDefault="00A943AB" w:rsidP="00B21AA4">
            <w:pPr>
              <w:pStyle w:val="AODocTxt"/>
              <w:spacing w:before="0"/>
              <w:rPr>
                <w:b/>
              </w:rPr>
            </w:pPr>
          </w:p>
        </w:tc>
        <w:tc>
          <w:tcPr>
            <w:tcW w:w="3949" w:type="dxa"/>
          </w:tcPr>
          <w:p w14:paraId="73B2151C" w14:textId="77777777" w:rsidR="00A943AB" w:rsidRPr="007D0A4A" w:rsidRDefault="00A943AB" w:rsidP="00B21AA4">
            <w:pPr>
              <w:pStyle w:val="NoSpacing"/>
              <w:jc w:val="right"/>
            </w:pPr>
            <w:r w:rsidRPr="007D0A4A">
              <w:t>Tel: +44 (0) 20 7416 7780</w:t>
            </w:r>
          </w:p>
          <w:p w14:paraId="11E0BE66" w14:textId="77777777" w:rsidR="00A943AB" w:rsidRPr="007D0A4A" w:rsidRDefault="00A943AB" w:rsidP="00B21AA4">
            <w:pPr>
              <w:pStyle w:val="NoSpacing"/>
              <w:jc w:val="right"/>
            </w:pPr>
          </w:p>
          <w:p w14:paraId="75F4FFD4" w14:textId="77777777" w:rsidR="00A943AB" w:rsidRPr="007D0A4A" w:rsidRDefault="00A943AB" w:rsidP="00B21AA4">
            <w:pPr>
              <w:spacing w:before="20"/>
              <w:jc w:val="right"/>
              <w:rPr>
                <w:rFonts w:ascii="Times New Roman" w:hAnsi="Times New Roman" w:cs="Times New Roman"/>
              </w:rPr>
            </w:pPr>
          </w:p>
        </w:tc>
      </w:tr>
      <w:tr w:rsidR="00A943AB" w:rsidRPr="007D0A4A" w14:paraId="444EA23A" w14:textId="77777777" w:rsidTr="00A943AB">
        <w:trPr>
          <w:trHeight w:val="370"/>
        </w:trPr>
        <w:tc>
          <w:tcPr>
            <w:tcW w:w="4945" w:type="dxa"/>
          </w:tcPr>
          <w:p w14:paraId="5FA30DBD" w14:textId="77777777" w:rsidR="00A943AB" w:rsidRPr="007D0A4A" w:rsidRDefault="00A943AB" w:rsidP="00B21AA4">
            <w:pPr>
              <w:pStyle w:val="AODocTxt"/>
              <w:spacing w:before="0"/>
              <w:rPr>
                <w:b/>
              </w:rPr>
            </w:pPr>
            <w:bookmarkStart w:id="0" w:name="_Hlk198183410"/>
            <w:r w:rsidRPr="007D0A4A">
              <w:rPr>
                <w:b/>
              </w:rPr>
              <w:t>Camarco (PR Adviser to Bagnall)</w:t>
            </w:r>
          </w:p>
        </w:tc>
        <w:tc>
          <w:tcPr>
            <w:tcW w:w="3949" w:type="dxa"/>
          </w:tcPr>
          <w:p w14:paraId="0D5300B4" w14:textId="77777777" w:rsidR="00A943AB" w:rsidRPr="007D0A4A" w:rsidRDefault="00A943AB" w:rsidP="00B21AA4">
            <w:pPr>
              <w:pStyle w:val="NoSpacing"/>
              <w:jc w:val="right"/>
            </w:pPr>
            <w:r w:rsidRPr="007D0A4A">
              <w:t xml:space="preserve">E: </w:t>
            </w:r>
            <w:r w:rsidRPr="007D0A4A">
              <w:rPr>
                <w:lang w:val="de-DE"/>
              </w:rPr>
              <w:t>projectsnow@camarco.co.uk</w:t>
            </w:r>
          </w:p>
        </w:tc>
      </w:tr>
      <w:tr w:rsidR="00A943AB" w:rsidRPr="007D0A4A" w14:paraId="31698F25" w14:textId="77777777" w:rsidTr="00A943AB">
        <w:trPr>
          <w:trHeight w:val="350"/>
        </w:trPr>
        <w:tc>
          <w:tcPr>
            <w:tcW w:w="4945" w:type="dxa"/>
          </w:tcPr>
          <w:p w14:paraId="17B264B0" w14:textId="77777777" w:rsidR="00A943AB" w:rsidRPr="007D0A4A" w:rsidRDefault="00A943AB" w:rsidP="00B21AA4">
            <w:pPr>
              <w:pStyle w:val="AODocTxt"/>
              <w:spacing w:before="0"/>
              <w:rPr>
                <w:bCs/>
              </w:rPr>
            </w:pPr>
            <w:r w:rsidRPr="007D0A4A">
              <w:rPr>
                <w:bCs/>
              </w:rPr>
              <w:t>Jennifer Renwick</w:t>
            </w:r>
          </w:p>
        </w:tc>
        <w:tc>
          <w:tcPr>
            <w:tcW w:w="3949" w:type="dxa"/>
          </w:tcPr>
          <w:p w14:paraId="31CD70B5" w14:textId="77777777" w:rsidR="00A943AB" w:rsidRPr="007D0A4A" w:rsidRDefault="00A943AB" w:rsidP="00B21AA4">
            <w:pPr>
              <w:pStyle w:val="NoSpacing"/>
              <w:jc w:val="right"/>
            </w:pPr>
            <w:r w:rsidRPr="007D0A4A">
              <w:t>Tel: +44 7928 471 013</w:t>
            </w:r>
          </w:p>
        </w:tc>
      </w:tr>
      <w:tr w:rsidR="00A943AB" w:rsidRPr="007D0A4A" w14:paraId="35C9B3FE" w14:textId="77777777" w:rsidTr="00A943AB">
        <w:trPr>
          <w:trHeight w:val="370"/>
        </w:trPr>
        <w:tc>
          <w:tcPr>
            <w:tcW w:w="4945" w:type="dxa"/>
          </w:tcPr>
          <w:p w14:paraId="39A54B8B" w14:textId="77777777" w:rsidR="00A943AB" w:rsidRPr="007D0A4A" w:rsidRDefault="00A943AB" w:rsidP="00B21AA4">
            <w:pPr>
              <w:pStyle w:val="AODocTxt"/>
              <w:spacing w:before="0"/>
              <w:rPr>
                <w:bCs/>
              </w:rPr>
            </w:pPr>
            <w:r w:rsidRPr="007D0A4A">
              <w:rPr>
                <w:bCs/>
              </w:rPr>
              <w:t>Rebecca Waterworth</w:t>
            </w:r>
          </w:p>
        </w:tc>
        <w:tc>
          <w:tcPr>
            <w:tcW w:w="3949" w:type="dxa"/>
          </w:tcPr>
          <w:p w14:paraId="154FE9D1" w14:textId="77777777" w:rsidR="00A943AB" w:rsidRPr="007D0A4A" w:rsidRDefault="00A943AB" w:rsidP="00B21AA4">
            <w:pPr>
              <w:pStyle w:val="NoSpacing"/>
              <w:jc w:val="right"/>
            </w:pPr>
            <w:r w:rsidRPr="007D0A4A">
              <w:t>Tel: +44 7780 503 708</w:t>
            </w:r>
          </w:p>
        </w:tc>
      </w:tr>
      <w:bookmarkEnd w:id="0"/>
      <w:tr w:rsidR="00A943AB" w:rsidRPr="007D0A4A" w14:paraId="5D4B2191" w14:textId="77777777" w:rsidTr="00A943AB">
        <w:trPr>
          <w:trHeight w:val="350"/>
        </w:trPr>
        <w:tc>
          <w:tcPr>
            <w:tcW w:w="4945" w:type="dxa"/>
          </w:tcPr>
          <w:p w14:paraId="160AF28A" w14:textId="77777777" w:rsidR="00A943AB" w:rsidRPr="007D0A4A" w:rsidRDefault="00A943AB" w:rsidP="00B21AA4">
            <w:pPr>
              <w:pStyle w:val="AODocTxt"/>
              <w:spacing w:before="0"/>
              <w:rPr>
                <w:b/>
              </w:rPr>
            </w:pPr>
          </w:p>
        </w:tc>
        <w:tc>
          <w:tcPr>
            <w:tcW w:w="3949" w:type="dxa"/>
          </w:tcPr>
          <w:p w14:paraId="3D0754C0" w14:textId="77777777" w:rsidR="00A943AB" w:rsidRPr="007D0A4A" w:rsidRDefault="00A943AB" w:rsidP="00B21AA4">
            <w:pPr>
              <w:pStyle w:val="NoSpacing"/>
              <w:jc w:val="right"/>
            </w:pPr>
          </w:p>
        </w:tc>
      </w:tr>
      <w:tr w:rsidR="00A943AB" w:rsidRPr="007D0A4A" w14:paraId="4EEA9D45" w14:textId="77777777" w:rsidTr="00A943AB">
        <w:trPr>
          <w:trHeight w:val="1070"/>
        </w:trPr>
        <w:tc>
          <w:tcPr>
            <w:tcW w:w="4945" w:type="dxa"/>
          </w:tcPr>
          <w:p w14:paraId="26538D05" w14:textId="77777777" w:rsidR="00A943AB" w:rsidRPr="007D0A4A" w:rsidRDefault="00A943AB" w:rsidP="00B21AA4">
            <w:pPr>
              <w:pStyle w:val="AODocTxt"/>
              <w:spacing w:before="0"/>
              <w:rPr>
                <w:b/>
              </w:rPr>
            </w:pPr>
            <w:r w:rsidRPr="007D0A4A">
              <w:rPr>
                <w:b/>
              </w:rPr>
              <w:t>DORE</w:t>
            </w:r>
          </w:p>
          <w:p w14:paraId="6E55CE62" w14:textId="77777777" w:rsidR="00A943AB" w:rsidRPr="007D0A4A" w:rsidRDefault="00A943AB" w:rsidP="00B21AA4">
            <w:pPr>
              <w:pStyle w:val="AODocTxt"/>
              <w:spacing w:before="0"/>
              <w:rPr>
                <w:b/>
              </w:rPr>
            </w:pPr>
            <w:r w:rsidRPr="007D0A4A">
              <w:rPr>
                <w:bCs/>
              </w:rPr>
              <w:t xml:space="preserve">Hugh Little </w:t>
            </w:r>
            <w:r w:rsidRPr="007D0A4A">
              <w:t>(Chair)</w:t>
            </w:r>
          </w:p>
          <w:p w14:paraId="6CDB7012" w14:textId="77777777" w:rsidR="00A943AB" w:rsidRPr="007D0A4A" w:rsidRDefault="00A943AB" w:rsidP="00B21AA4">
            <w:pPr>
              <w:pStyle w:val="AODocTxt"/>
              <w:spacing w:before="0"/>
            </w:pPr>
          </w:p>
        </w:tc>
        <w:tc>
          <w:tcPr>
            <w:tcW w:w="3949" w:type="dxa"/>
          </w:tcPr>
          <w:p w14:paraId="39676717" w14:textId="77777777" w:rsidR="00A943AB" w:rsidRPr="007D0A4A" w:rsidRDefault="00A943AB" w:rsidP="00B21AA4">
            <w:pPr>
              <w:pStyle w:val="AONormal"/>
              <w:jc w:val="right"/>
            </w:pPr>
            <w:r w:rsidRPr="007D0A4A">
              <w:rPr>
                <w:bCs/>
              </w:rPr>
              <w:t>via Singer Capital Markets</w:t>
            </w:r>
          </w:p>
        </w:tc>
      </w:tr>
      <w:tr w:rsidR="00A943AB" w:rsidRPr="007D0A4A" w14:paraId="6989EB1D" w14:textId="77777777" w:rsidTr="00A943AB">
        <w:trPr>
          <w:trHeight w:val="2141"/>
        </w:trPr>
        <w:tc>
          <w:tcPr>
            <w:tcW w:w="4945" w:type="dxa"/>
          </w:tcPr>
          <w:p w14:paraId="19A03796" w14:textId="77777777" w:rsidR="00A943AB" w:rsidRPr="007D0A4A" w:rsidRDefault="00A943AB" w:rsidP="00B21AA4">
            <w:pPr>
              <w:pStyle w:val="AODocTxt"/>
              <w:spacing w:before="0"/>
              <w:rPr>
                <w:b/>
              </w:rPr>
            </w:pPr>
            <w:r w:rsidRPr="007D0A4A">
              <w:rPr>
                <w:b/>
              </w:rPr>
              <w:t xml:space="preserve">Singer Capital Markets (Financial Adviser, Rule 3 Adviser and Corporate Broker to DORE) </w:t>
            </w:r>
          </w:p>
          <w:p w14:paraId="32812EF7" w14:textId="77777777" w:rsidR="00A943AB" w:rsidRPr="007D0A4A" w:rsidRDefault="00A943AB" w:rsidP="00B21AA4">
            <w:pPr>
              <w:pStyle w:val="AODocTxt"/>
              <w:spacing w:before="0"/>
              <w:rPr>
                <w:bCs/>
              </w:rPr>
            </w:pPr>
            <w:r w:rsidRPr="007D0A4A">
              <w:rPr>
                <w:bCs/>
              </w:rPr>
              <w:t>Alaina Wong</w:t>
            </w:r>
          </w:p>
          <w:p w14:paraId="20F3796C" w14:textId="77777777" w:rsidR="00A943AB" w:rsidRPr="007D0A4A" w:rsidRDefault="00A943AB" w:rsidP="00B21AA4">
            <w:pPr>
              <w:pStyle w:val="AODocTxt"/>
              <w:spacing w:before="0"/>
              <w:rPr>
                <w:bCs/>
              </w:rPr>
            </w:pPr>
            <w:r w:rsidRPr="007D0A4A">
              <w:rPr>
                <w:bCs/>
              </w:rPr>
              <w:t>Sam Butcher</w:t>
            </w:r>
          </w:p>
          <w:p w14:paraId="3785E6D9" w14:textId="77777777" w:rsidR="00A943AB" w:rsidRPr="007D0A4A" w:rsidRDefault="00A943AB" w:rsidP="00B21AA4">
            <w:pPr>
              <w:pStyle w:val="AODocTxt"/>
              <w:spacing w:before="0"/>
              <w:rPr>
                <w:bCs/>
              </w:rPr>
            </w:pPr>
            <w:r w:rsidRPr="007D0A4A">
              <w:rPr>
                <w:bCs/>
              </w:rPr>
              <w:t>Jalini Kalaravy</w:t>
            </w:r>
          </w:p>
          <w:p w14:paraId="26F5D8AB" w14:textId="77777777" w:rsidR="00A943AB" w:rsidRPr="007D0A4A" w:rsidRDefault="00A943AB" w:rsidP="00B21AA4">
            <w:pPr>
              <w:pStyle w:val="AODocTxt"/>
              <w:spacing w:before="0"/>
              <w:rPr>
                <w:b/>
              </w:rPr>
            </w:pPr>
          </w:p>
        </w:tc>
        <w:tc>
          <w:tcPr>
            <w:tcW w:w="3949" w:type="dxa"/>
          </w:tcPr>
          <w:p w14:paraId="4085D6B0" w14:textId="77777777" w:rsidR="00A943AB" w:rsidRPr="007D0A4A" w:rsidRDefault="00A943AB" w:rsidP="00B21AA4">
            <w:pPr>
              <w:pStyle w:val="AONormal"/>
              <w:jc w:val="right"/>
            </w:pPr>
            <w:r w:rsidRPr="007D0A4A">
              <w:t xml:space="preserve">Tel: +44 (0) </w:t>
            </w:r>
            <w:r w:rsidRPr="007D0A4A">
              <w:rPr>
                <w:bCs/>
              </w:rPr>
              <w:t>20 7496 3000</w:t>
            </w:r>
          </w:p>
        </w:tc>
      </w:tr>
      <w:tr w:rsidR="00A943AB" w:rsidRPr="007D0A4A" w14:paraId="660D2CF4" w14:textId="77777777" w:rsidTr="00787FA1">
        <w:trPr>
          <w:trHeight w:val="1806"/>
        </w:trPr>
        <w:tc>
          <w:tcPr>
            <w:tcW w:w="4945" w:type="dxa"/>
          </w:tcPr>
          <w:p w14:paraId="6B0D94D2" w14:textId="77777777" w:rsidR="00A943AB" w:rsidRPr="007D0A4A" w:rsidRDefault="00A943AB" w:rsidP="00B21AA4">
            <w:pPr>
              <w:pStyle w:val="AODocTxt"/>
              <w:spacing w:before="0"/>
              <w:rPr>
                <w:b/>
              </w:rPr>
            </w:pPr>
            <w:r w:rsidRPr="007D0A4A">
              <w:rPr>
                <w:b/>
              </w:rPr>
              <w:lastRenderedPageBreak/>
              <w:t>Cardew Group (PR Adviser to DORE)</w:t>
            </w:r>
          </w:p>
          <w:p w14:paraId="03131B9A" w14:textId="77777777" w:rsidR="00A943AB" w:rsidRPr="007D0A4A" w:rsidRDefault="00A943AB" w:rsidP="00B21AA4">
            <w:pPr>
              <w:pStyle w:val="AODocTxt"/>
              <w:spacing w:before="0"/>
              <w:rPr>
                <w:bCs/>
              </w:rPr>
            </w:pPr>
            <w:r w:rsidRPr="007D0A4A">
              <w:rPr>
                <w:bCs/>
              </w:rPr>
              <w:t>Ed Orlebar</w:t>
            </w:r>
          </w:p>
          <w:p w14:paraId="0F169839" w14:textId="77777777" w:rsidR="00A943AB" w:rsidRPr="007D0A4A" w:rsidRDefault="00A943AB" w:rsidP="00B21AA4">
            <w:pPr>
              <w:pStyle w:val="AODocTxt"/>
              <w:spacing w:before="0"/>
              <w:rPr>
                <w:bCs/>
              </w:rPr>
            </w:pPr>
            <w:r w:rsidRPr="007D0A4A">
              <w:rPr>
                <w:bCs/>
              </w:rPr>
              <w:t>Tania Wild</w:t>
            </w:r>
          </w:p>
          <w:p w14:paraId="70DA7BCD" w14:textId="77777777" w:rsidR="00A943AB" w:rsidRPr="007D0A4A" w:rsidRDefault="00A943AB" w:rsidP="00B21AA4">
            <w:pPr>
              <w:pStyle w:val="AODocTxt"/>
              <w:spacing w:before="0"/>
              <w:rPr>
                <w:bCs/>
              </w:rPr>
            </w:pPr>
            <w:r w:rsidRPr="007D0A4A">
              <w:rPr>
                <w:bCs/>
              </w:rPr>
              <w:t>Henry Crane</w:t>
            </w:r>
          </w:p>
          <w:p w14:paraId="08CC680E" w14:textId="77777777" w:rsidR="00A943AB" w:rsidRPr="007D0A4A" w:rsidRDefault="00A943AB" w:rsidP="00B21AA4">
            <w:pPr>
              <w:pStyle w:val="AODocTxt"/>
              <w:spacing w:before="0"/>
              <w:rPr>
                <w:b/>
              </w:rPr>
            </w:pPr>
          </w:p>
        </w:tc>
        <w:tc>
          <w:tcPr>
            <w:tcW w:w="3949" w:type="dxa"/>
          </w:tcPr>
          <w:p w14:paraId="24C088E0" w14:textId="77777777" w:rsidR="00A943AB" w:rsidRPr="007D0A4A" w:rsidRDefault="00A943AB" w:rsidP="00B21AA4">
            <w:pPr>
              <w:spacing w:before="20"/>
              <w:jc w:val="right"/>
              <w:rPr>
                <w:rFonts w:ascii="Times New Roman" w:hAnsi="Times New Roman" w:cs="Times New Roman"/>
                <w:bCs/>
              </w:rPr>
            </w:pPr>
            <w:r w:rsidRPr="007D0A4A">
              <w:rPr>
                <w:rFonts w:ascii="Times New Roman" w:hAnsi="Times New Roman" w:cs="Times New Roman"/>
              </w:rPr>
              <w:t xml:space="preserve">E: </w:t>
            </w:r>
            <w:r w:rsidRPr="007D0A4A">
              <w:rPr>
                <w:rFonts w:ascii="Times New Roman" w:hAnsi="Times New Roman" w:cs="Times New Roman"/>
                <w:bCs/>
              </w:rPr>
              <w:t>DORE@cardewgroup.com</w:t>
            </w:r>
          </w:p>
          <w:p w14:paraId="094FBE2A" w14:textId="77777777" w:rsidR="00A943AB" w:rsidRPr="007D0A4A" w:rsidRDefault="00A943AB" w:rsidP="00B21AA4">
            <w:pPr>
              <w:spacing w:before="20"/>
              <w:jc w:val="right"/>
              <w:rPr>
                <w:rFonts w:ascii="Times New Roman" w:hAnsi="Times New Roman" w:cs="Times New Roman"/>
                <w:bCs/>
              </w:rPr>
            </w:pPr>
            <w:r w:rsidRPr="007D0A4A">
              <w:rPr>
                <w:rFonts w:ascii="Times New Roman" w:hAnsi="Times New Roman" w:cs="Times New Roman"/>
              </w:rPr>
              <w:t xml:space="preserve">Tel: +44 (0) </w:t>
            </w:r>
            <w:r w:rsidRPr="007D0A4A">
              <w:rPr>
                <w:rFonts w:ascii="Times New Roman" w:hAnsi="Times New Roman" w:cs="Times New Roman"/>
                <w:bCs/>
              </w:rPr>
              <w:t>20 7930 0777</w:t>
            </w:r>
          </w:p>
          <w:p w14:paraId="533EFAFE" w14:textId="77777777" w:rsidR="00A943AB" w:rsidRPr="007D0A4A" w:rsidRDefault="00A943AB" w:rsidP="00B21AA4">
            <w:pPr>
              <w:pStyle w:val="AONormal"/>
              <w:jc w:val="right"/>
              <w:rPr>
                <w:lang w:val="en-US"/>
              </w:rPr>
            </w:pPr>
            <w:r w:rsidRPr="007D0A4A">
              <w:rPr>
                <w:lang w:val="en-US"/>
              </w:rPr>
              <w:t>+44 (0)7738 724630</w:t>
            </w:r>
          </w:p>
          <w:p w14:paraId="322FC2C8" w14:textId="77777777" w:rsidR="00A943AB" w:rsidRPr="007D0A4A" w:rsidRDefault="00A943AB" w:rsidP="00B21AA4">
            <w:pPr>
              <w:jc w:val="right"/>
              <w:rPr>
                <w:rFonts w:ascii="Times New Roman" w:hAnsi="Times New Roman" w:cs="Times New Roman"/>
              </w:rPr>
            </w:pPr>
            <w:r w:rsidRPr="007D0A4A">
              <w:rPr>
                <w:rFonts w:ascii="Times New Roman" w:hAnsi="Times New Roman" w:cs="Times New Roman"/>
              </w:rPr>
              <w:t>+44 (0)7425 536903</w:t>
            </w:r>
          </w:p>
          <w:p w14:paraId="6D504AB2" w14:textId="77777777" w:rsidR="00A943AB" w:rsidRPr="007D0A4A" w:rsidRDefault="00A943AB" w:rsidP="00B21AA4">
            <w:pPr>
              <w:jc w:val="right"/>
              <w:rPr>
                <w:rFonts w:ascii="Times New Roman" w:hAnsi="Times New Roman" w:cs="Times New Roman"/>
              </w:rPr>
            </w:pPr>
            <w:r w:rsidRPr="007D0A4A">
              <w:rPr>
                <w:rFonts w:ascii="Times New Roman" w:hAnsi="Times New Roman" w:cs="Times New Roman"/>
                <w:lang w:val="en-US"/>
              </w:rPr>
              <w:t>+44 (0)7918 207157</w:t>
            </w:r>
          </w:p>
          <w:p w14:paraId="3C4E78EA" w14:textId="77777777" w:rsidR="00A943AB" w:rsidRPr="007D0A4A" w:rsidRDefault="00A943AB" w:rsidP="00B21AA4">
            <w:pPr>
              <w:spacing w:before="20"/>
              <w:jc w:val="right"/>
              <w:rPr>
                <w:rFonts w:ascii="Times New Roman" w:hAnsi="Times New Roman" w:cs="Times New Roman"/>
              </w:rPr>
            </w:pPr>
          </w:p>
          <w:p w14:paraId="2981725D" w14:textId="77777777" w:rsidR="00A943AB" w:rsidRPr="007D0A4A" w:rsidRDefault="00A943AB" w:rsidP="00B21AA4">
            <w:pPr>
              <w:pStyle w:val="AONormal"/>
              <w:jc w:val="right"/>
            </w:pPr>
          </w:p>
        </w:tc>
      </w:tr>
    </w:tbl>
    <w:p w14:paraId="73B63C6A" w14:textId="77777777" w:rsidR="006C17BB" w:rsidRDefault="006C17BB" w:rsidP="00787FA1">
      <w:pPr>
        <w:widowControl w:val="0"/>
        <w:overflowPunct w:val="0"/>
        <w:autoSpaceDE w:val="0"/>
        <w:autoSpaceDN w:val="0"/>
        <w:adjustRightInd w:val="0"/>
        <w:spacing w:after="0" w:line="261" w:lineRule="auto"/>
        <w:jc w:val="both"/>
        <w:rPr>
          <w:rFonts w:ascii="Times New Roman" w:hAnsi="Times New Roman" w:cs="Times New Roman"/>
          <w:b/>
          <w:bCs/>
          <w:i/>
          <w:iCs/>
        </w:rPr>
      </w:pPr>
    </w:p>
    <w:p w14:paraId="170AAC09" w14:textId="77777777" w:rsidR="006C17BB" w:rsidRDefault="006C17BB" w:rsidP="006C17BB">
      <w:pPr>
        <w:widowControl w:val="0"/>
        <w:overflowPunct w:val="0"/>
        <w:autoSpaceDE w:val="0"/>
        <w:autoSpaceDN w:val="0"/>
        <w:adjustRightInd w:val="0"/>
        <w:spacing w:after="0" w:line="261" w:lineRule="auto"/>
        <w:jc w:val="both"/>
        <w:rPr>
          <w:rFonts w:ascii="Times New Roman" w:hAnsi="Times New Roman" w:cs="Times New Roman"/>
          <w:sz w:val="20"/>
          <w:szCs w:val="20"/>
        </w:rPr>
      </w:pPr>
      <w:r>
        <w:rPr>
          <w:rFonts w:ascii="Times New Roman" w:hAnsi="Times New Roman" w:cs="Times New Roman"/>
          <w:sz w:val="20"/>
          <w:szCs w:val="20"/>
        </w:rPr>
        <w:t>Dickson Minto LLP is acting as legal adviser to Bidco and Bagnall.</w:t>
      </w:r>
    </w:p>
    <w:p w14:paraId="0F7698DC" w14:textId="77777777" w:rsidR="006C17BB" w:rsidRDefault="006C17BB" w:rsidP="006C17BB">
      <w:pPr>
        <w:widowControl w:val="0"/>
        <w:overflowPunct w:val="0"/>
        <w:autoSpaceDE w:val="0"/>
        <w:autoSpaceDN w:val="0"/>
        <w:adjustRightInd w:val="0"/>
        <w:spacing w:after="0" w:line="261" w:lineRule="auto"/>
        <w:jc w:val="both"/>
        <w:rPr>
          <w:rFonts w:ascii="Times New Roman" w:hAnsi="Times New Roman" w:cs="Times New Roman"/>
          <w:sz w:val="20"/>
          <w:szCs w:val="20"/>
        </w:rPr>
      </w:pPr>
    </w:p>
    <w:p w14:paraId="53D2DD41" w14:textId="77777777" w:rsidR="006C17BB" w:rsidRPr="00724AB3" w:rsidRDefault="006C17BB" w:rsidP="006C17BB">
      <w:pPr>
        <w:widowControl w:val="0"/>
        <w:overflowPunct w:val="0"/>
        <w:autoSpaceDE w:val="0"/>
        <w:autoSpaceDN w:val="0"/>
        <w:adjustRightInd w:val="0"/>
        <w:spacing w:after="0" w:line="261" w:lineRule="auto"/>
        <w:jc w:val="both"/>
        <w:rPr>
          <w:rFonts w:ascii="Times New Roman" w:hAnsi="Times New Roman" w:cs="Times New Roman"/>
          <w:sz w:val="20"/>
          <w:szCs w:val="20"/>
        </w:rPr>
      </w:pPr>
      <w:r>
        <w:rPr>
          <w:rFonts w:ascii="Times New Roman" w:hAnsi="Times New Roman" w:cs="Times New Roman"/>
          <w:sz w:val="20"/>
          <w:szCs w:val="20"/>
        </w:rPr>
        <w:t xml:space="preserve">Gowling WLG (UK) LLP is acting as legal adviser to DORE. </w:t>
      </w:r>
    </w:p>
    <w:p w14:paraId="1BA77EB1" w14:textId="77777777" w:rsidR="006C17BB" w:rsidRDefault="006C17BB" w:rsidP="00787FA1">
      <w:pPr>
        <w:widowControl w:val="0"/>
        <w:overflowPunct w:val="0"/>
        <w:autoSpaceDE w:val="0"/>
        <w:autoSpaceDN w:val="0"/>
        <w:adjustRightInd w:val="0"/>
        <w:spacing w:after="0" w:line="261" w:lineRule="auto"/>
        <w:jc w:val="both"/>
        <w:rPr>
          <w:rFonts w:ascii="Times New Roman" w:hAnsi="Times New Roman" w:cs="Times New Roman"/>
          <w:b/>
          <w:bCs/>
          <w:i/>
          <w:iCs/>
        </w:rPr>
      </w:pPr>
    </w:p>
    <w:p w14:paraId="6196000A" w14:textId="11CF97CB"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b/>
          <w:bCs/>
          <w:i/>
          <w:iCs/>
        </w:rPr>
      </w:pPr>
      <w:r w:rsidRPr="007D0A4A">
        <w:rPr>
          <w:rFonts w:ascii="Times New Roman" w:hAnsi="Times New Roman" w:cs="Times New Roman"/>
          <w:b/>
          <w:bCs/>
          <w:i/>
          <w:iCs/>
        </w:rPr>
        <w:t>Important notices relating to financial advisers</w:t>
      </w:r>
    </w:p>
    <w:p w14:paraId="71115D6E" w14:textId="77777777"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p>
    <w:p w14:paraId="195A0F18" w14:textId="01CE26D4"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r w:rsidRPr="007D0A4A">
        <w:rPr>
          <w:rFonts w:ascii="Times New Roman" w:hAnsi="Times New Roman" w:cs="Times New Roman"/>
          <w:i/>
          <w:iCs/>
        </w:rPr>
        <w:t>Singer Capital Markets Advisory LLP ("</w:t>
      </w:r>
      <w:r w:rsidRPr="007D0A4A">
        <w:rPr>
          <w:rFonts w:ascii="Times New Roman" w:hAnsi="Times New Roman" w:cs="Times New Roman"/>
          <w:b/>
          <w:bCs/>
          <w:i/>
          <w:iCs/>
        </w:rPr>
        <w:t>Singer Capital Markets</w:t>
      </w:r>
      <w:r w:rsidRPr="007D0A4A">
        <w:rPr>
          <w:rFonts w:ascii="Times New Roman" w:hAnsi="Times New Roman" w:cs="Times New Roman"/>
          <w:i/>
          <w:iCs/>
        </w:rPr>
        <w:t xml:space="preserve">"), which is authorised and regulated in the United Kingdom by the FCA, is acting as </w:t>
      </w:r>
      <w:r w:rsidR="006D1D41">
        <w:rPr>
          <w:rFonts w:ascii="Times New Roman" w:hAnsi="Times New Roman" w:cs="Times New Roman"/>
          <w:i/>
          <w:iCs/>
        </w:rPr>
        <w:t>F</w:t>
      </w:r>
      <w:r w:rsidRPr="007D0A4A">
        <w:rPr>
          <w:rFonts w:ascii="Times New Roman" w:hAnsi="Times New Roman" w:cs="Times New Roman"/>
          <w:i/>
          <w:iCs/>
        </w:rPr>
        <w:t xml:space="preserve">inancial </w:t>
      </w:r>
      <w:r w:rsidR="006D1D41">
        <w:rPr>
          <w:rFonts w:ascii="Times New Roman" w:hAnsi="Times New Roman" w:cs="Times New Roman"/>
          <w:i/>
          <w:iCs/>
        </w:rPr>
        <w:t>A</w:t>
      </w:r>
      <w:r w:rsidRPr="007D0A4A">
        <w:rPr>
          <w:rFonts w:ascii="Times New Roman" w:hAnsi="Times New Roman" w:cs="Times New Roman"/>
          <w:i/>
          <w:iCs/>
        </w:rPr>
        <w:t xml:space="preserve">dviser exclusively to DORE and no one else in connection with the matters described in this </w:t>
      </w:r>
      <w:r w:rsidR="006C17BB">
        <w:rPr>
          <w:rFonts w:ascii="Times New Roman" w:hAnsi="Times New Roman" w:cs="Times New Roman"/>
          <w:i/>
          <w:iCs/>
        </w:rPr>
        <w:t>announcement</w:t>
      </w:r>
      <w:r w:rsidR="006C17BB" w:rsidRPr="007D0A4A">
        <w:rPr>
          <w:rFonts w:ascii="Times New Roman" w:hAnsi="Times New Roman" w:cs="Times New Roman"/>
          <w:i/>
          <w:iCs/>
        </w:rPr>
        <w:t xml:space="preserve"> </w:t>
      </w:r>
      <w:r w:rsidRPr="007D0A4A">
        <w:rPr>
          <w:rFonts w:ascii="Times New Roman" w:hAnsi="Times New Roman" w:cs="Times New Roman"/>
          <w:i/>
          <w:iCs/>
        </w:rPr>
        <w:t xml:space="preserve">and will not regard any other person as its client in respect thereof or be responsible to anyone other than DORE for providing the protections afforded to clients of Singer Capital Markets or its affiliates nor for providing advice in connection with any matter referred to in this </w:t>
      </w:r>
      <w:r w:rsidR="006C17BB">
        <w:rPr>
          <w:rFonts w:ascii="Times New Roman" w:hAnsi="Times New Roman" w:cs="Times New Roman"/>
          <w:i/>
          <w:iCs/>
        </w:rPr>
        <w:t>announcement.</w:t>
      </w:r>
      <w:r w:rsidRPr="007D0A4A">
        <w:rPr>
          <w:rFonts w:ascii="Times New Roman" w:hAnsi="Times New Roman" w:cs="Times New Roman"/>
          <w:i/>
          <w:iCs/>
        </w:rPr>
        <w:t xml:space="preserve"> Neither Singer Capital Markets nor any of its affiliates (nor their respective directors, officers, employees or agents) owes or accepts any duty, liability or responsibility whatsoever (whether direct or indirect, whether in contract, in tort, under statute or otherwise) to any person who is not a client of Singer Capital Markets or its affiliates in connection with this</w:t>
      </w:r>
      <w:r w:rsidR="006C17BB">
        <w:rPr>
          <w:rFonts w:ascii="Times New Roman" w:hAnsi="Times New Roman" w:cs="Times New Roman"/>
          <w:i/>
          <w:iCs/>
        </w:rPr>
        <w:t xml:space="preserve"> announcement</w:t>
      </w:r>
      <w:r w:rsidRPr="007D0A4A">
        <w:rPr>
          <w:rFonts w:ascii="Times New Roman" w:hAnsi="Times New Roman" w:cs="Times New Roman"/>
          <w:i/>
          <w:iCs/>
        </w:rPr>
        <w:t>, any statement contained herein, the Acquisition</w:t>
      </w:r>
      <w:r w:rsidR="006D1D41">
        <w:rPr>
          <w:rFonts w:ascii="Times New Roman" w:hAnsi="Times New Roman" w:cs="Times New Roman"/>
          <w:i/>
          <w:iCs/>
        </w:rPr>
        <w:t xml:space="preserve">, the Scheme </w:t>
      </w:r>
      <w:r w:rsidRPr="007D0A4A">
        <w:rPr>
          <w:rFonts w:ascii="Times New Roman" w:hAnsi="Times New Roman" w:cs="Times New Roman"/>
          <w:i/>
          <w:iCs/>
        </w:rPr>
        <w:t xml:space="preserve">or otherwise. No representation or warranty, express or implied, is made by Singer Capital Markets as to the contents of this </w:t>
      </w:r>
      <w:r w:rsidR="006C17BB">
        <w:rPr>
          <w:rFonts w:ascii="Times New Roman" w:hAnsi="Times New Roman" w:cs="Times New Roman"/>
          <w:i/>
          <w:iCs/>
        </w:rPr>
        <w:t>announcement</w:t>
      </w:r>
      <w:r w:rsidRPr="007D0A4A">
        <w:rPr>
          <w:rFonts w:ascii="Times New Roman" w:hAnsi="Times New Roman" w:cs="Times New Roman"/>
          <w:i/>
          <w:iCs/>
        </w:rPr>
        <w:t>.</w:t>
      </w:r>
    </w:p>
    <w:p w14:paraId="2F01C903" w14:textId="77777777"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p>
    <w:p w14:paraId="728941E4" w14:textId="257C73B7"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r w:rsidRPr="007D0A4A">
        <w:rPr>
          <w:rFonts w:ascii="Times New Roman" w:hAnsi="Times New Roman" w:cs="Times New Roman"/>
          <w:i/>
          <w:iCs/>
        </w:rPr>
        <w:t>Dickson Minto Advisers LLP ("</w:t>
      </w:r>
      <w:r w:rsidRPr="007D0A4A">
        <w:rPr>
          <w:rFonts w:ascii="Times New Roman" w:hAnsi="Times New Roman" w:cs="Times New Roman"/>
          <w:b/>
          <w:bCs/>
          <w:i/>
          <w:iCs/>
        </w:rPr>
        <w:t>Dickson Minto Advisers</w:t>
      </w:r>
      <w:r w:rsidRPr="007D0A4A">
        <w:rPr>
          <w:rFonts w:ascii="Times New Roman" w:hAnsi="Times New Roman" w:cs="Times New Roman"/>
          <w:i/>
          <w:iCs/>
        </w:rPr>
        <w:t xml:space="preserve">"), which is authorised and regulated in the United Kingdom by the FCA, is acting as </w:t>
      </w:r>
      <w:r w:rsidR="006D1D41">
        <w:rPr>
          <w:rFonts w:ascii="Times New Roman" w:hAnsi="Times New Roman" w:cs="Times New Roman"/>
          <w:i/>
          <w:iCs/>
        </w:rPr>
        <w:t>F</w:t>
      </w:r>
      <w:r w:rsidRPr="007D0A4A">
        <w:rPr>
          <w:rFonts w:ascii="Times New Roman" w:hAnsi="Times New Roman" w:cs="Times New Roman"/>
          <w:i/>
          <w:iCs/>
        </w:rPr>
        <w:t xml:space="preserve">inancial </w:t>
      </w:r>
      <w:r w:rsidR="006D1D41">
        <w:rPr>
          <w:rFonts w:ascii="Times New Roman" w:hAnsi="Times New Roman" w:cs="Times New Roman"/>
          <w:i/>
          <w:iCs/>
        </w:rPr>
        <w:t>A</w:t>
      </w:r>
      <w:r w:rsidRPr="007D0A4A">
        <w:rPr>
          <w:rFonts w:ascii="Times New Roman" w:hAnsi="Times New Roman" w:cs="Times New Roman"/>
          <w:i/>
          <w:iCs/>
        </w:rPr>
        <w:t xml:space="preserve">dviser exclusively to Bidco and Bagnall and no-one else in connection with the matters described in this </w:t>
      </w:r>
      <w:r w:rsidR="006C17BB">
        <w:rPr>
          <w:rFonts w:ascii="Times New Roman" w:hAnsi="Times New Roman" w:cs="Times New Roman"/>
          <w:i/>
          <w:iCs/>
        </w:rPr>
        <w:t xml:space="preserve">announcement </w:t>
      </w:r>
      <w:r w:rsidRPr="007D0A4A">
        <w:rPr>
          <w:rFonts w:ascii="Times New Roman" w:hAnsi="Times New Roman" w:cs="Times New Roman"/>
          <w:i/>
          <w:iCs/>
        </w:rPr>
        <w:t xml:space="preserve">and will not regard any other person as its client in respect thereof or be responsible to anyone other than Bidco or Bagnall for providing the protections afforded to clients of Dickson Minto Advisers or its affiliates nor for providing advice in connection with any matter referred to in this </w:t>
      </w:r>
      <w:r w:rsidR="006C17BB">
        <w:rPr>
          <w:rFonts w:ascii="Times New Roman" w:hAnsi="Times New Roman" w:cs="Times New Roman"/>
          <w:i/>
          <w:iCs/>
        </w:rPr>
        <w:t>announcement</w:t>
      </w:r>
      <w:r w:rsidRPr="007D0A4A">
        <w:rPr>
          <w:rFonts w:ascii="Times New Roman" w:hAnsi="Times New Roman" w:cs="Times New Roman"/>
          <w:i/>
          <w:iCs/>
        </w:rPr>
        <w:t xml:space="preserve">. Neither Dickson Minto Advisers nor any of its affiliates (nor their respective directors, officers, employees or agents) owes or accepts any duty, liability or responsibility whatsoever (whether direct or indirect, whether in contract, in tort, under statute or otherwise) to any person who is not a client of Dickson Minto Advisers or its affiliates in connection with this </w:t>
      </w:r>
      <w:r w:rsidR="006C17BB">
        <w:rPr>
          <w:rFonts w:ascii="Times New Roman" w:hAnsi="Times New Roman" w:cs="Times New Roman"/>
          <w:i/>
          <w:iCs/>
        </w:rPr>
        <w:t>announcement</w:t>
      </w:r>
      <w:r w:rsidRPr="007D0A4A">
        <w:rPr>
          <w:rFonts w:ascii="Times New Roman" w:hAnsi="Times New Roman" w:cs="Times New Roman"/>
          <w:i/>
          <w:iCs/>
        </w:rPr>
        <w:t>, any statement contained herein, the Acquisition, the Scheme or otherwise. No representation or warranty, express or implied, is made by Dickson Minto Advisers as to the contents of this</w:t>
      </w:r>
      <w:r w:rsidR="006C17BB">
        <w:rPr>
          <w:rFonts w:ascii="Times New Roman" w:hAnsi="Times New Roman" w:cs="Times New Roman"/>
          <w:i/>
          <w:iCs/>
        </w:rPr>
        <w:t xml:space="preserve"> announcement</w:t>
      </w:r>
      <w:r w:rsidRPr="007D0A4A">
        <w:rPr>
          <w:rFonts w:ascii="Times New Roman" w:hAnsi="Times New Roman" w:cs="Times New Roman"/>
          <w:i/>
          <w:iCs/>
        </w:rPr>
        <w:t>.</w:t>
      </w:r>
    </w:p>
    <w:p w14:paraId="463AF3FF" w14:textId="77777777" w:rsidR="00787FA1" w:rsidRPr="007D0A4A"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p>
    <w:p w14:paraId="6BA50DDE" w14:textId="08D93A48" w:rsidR="00787FA1" w:rsidRPr="006D1D41" w:rsidRDefault="00787FA1" w:rsidP="00787FA1">
      <w:pPr>
        <w:widowControl w:val="0"/>
        <w:overflowPunct w:val="0"/>
        <w:autoSpaceDE w:val="0"/>
        <w:autoSpaceDN w:val="0"/>
        <w:adjustRightInd w:val="0"/>
        <w:spacing w:after="0" w:line="261" w:lineRule="auto"/>
        <w:jc w:val="both"/>
        <w:rPr>
          <w:rFonts w:ascii="Times New Roman" w:hAnsi="Times New Roman" w:cs="Times New Roman"/>
          <w:b/>
          <w:bCs/>
          <w:i/>
          <w:iCs/>
        </w:rPr>
      </w:pPr>
      <w:r w:rsidRPr="006D1D41">
        <w:rPr>
          <w:rFonts w:ascii="Times New Roman" w:hAnsi="Times New Roman" w:cs="Times New Roman"/>
          <w:b/>
          <w:bCs/>
          <w:i/>
          <w:iCs/>
        </w:rPr>
        <w:t xml:space="preserve">Further </w:t>
      </w:r>
      <w:r w:rsidR="006D1D41" w:rsidRPr="006D1D41">
        <w:rPr>
          <w:rFonts w:ascii="Times New Roman" w:hAnsi="Times New Roman" w:cs="Times New Roman"/>
          <w:b/>
          <w:bCs/>
          <w:i/>
          <w:iCs/>
        </w:rPr>
        <w:t>i</w:t>
      </w:r>
      <w:r w:rsidRPr="006D1D41">
        <w:rPr>
          <w:rFonts w:ascii="Times New Roman" w:hAnsi="Times New Roman" w:cs="Times New Roman"/>
          <w:b/>
          <w:bCs/>
          <w:i/>
          <w:iCs/>
        </w:rPr>
        <w:t>nformation</w:t>
      </w:r>
    </w:p>
    <w:p w14:paraId="05168AF5" w14:textId="77777777" w:rsidR="00787FA1" w:rsidRPr="006D1D41" w:rsidRDefault="00787FA1" w:rsidP="00787FA1">
      <w:pPr>
        <w:widowControl w:val="0"/>
        <w:overflowPunct w:val="0"/>
        <w:autoSpaceDE w:val="0"/>
        <w:autoSpaceDN w:val="0"/>
        <w:adjustRightInd w:val="0"/>
        <w:spacing w:after="0" w:line="261" w:lineRule="auto"/>
        <w:jc w:val="both"/>
        <w:rPr>
          <w:rFonts w:ascii="Times New Roman" w:hAnsi="Times New Roman" w:cs="Times New Roman"/>
          <w:i/>
          <w:iCs/>
        </w:rPr>
      </w:pPr>
    </w:p>
    <w:p w14:paraId="5AE39334" w14:textId="77777777" w:rsidR="009D062A" w:rsidRPr="006D1D41" w:rsidRDefault="009D062A" w:rsidP="009D062A">
      <w:pPr>
        <w:widowControl w:val="0"/>
        <w:overflowPunct w:val="0"/>
        <w:autoSpaceDE w:val="0"/>
        <w:autoSpaceDN w:val="0"/>
        <w:adjustRightInd w:val="0"/>
        <w:spacing w:after="0" w:line="261" w:lineRule="auto"/>
        <w:jc w:val="both"/>
        <w:rPr>
          <w:rFonts w:ascii="Times New Roman" w:hAnsi="Times New Roman" w:cs="Times New Roman"/>
          <w:i/>
          <w:iCs/>
          <w:lang w:val="en-GB"/>
        </w:rPr>
      </w:pPr>
      <w:r w:rsidRPr="006D1D41">
        <w:rPr>
          <w:rFonts w:ascii="Times New Roman" w:hAnsi="Times New Roman" w:cs="Times New Roman"/>
          <w:i/>
          <w:iCs/>
          <w:lang w:val="en-GB"/>
        </w:rPr>
        <w:t xml:space="preserve">This announcement is for information purposes only. It is not intended to, and does not, constitute or form part of any offer, invitation or the solicitation of an offer to purchase, otherwise acquire, subscribe for, sell or otherwise dispose of any securities or the solicitation of any vote or approval in any jurisdiction pursuant to the Acquisition or otherwise, nor shall there be any sale, issuance or transfer of securities in DORE in any jurisdiction in contravention of applicable law. The Acquisition will be made solely through the Scheme Document (or, in the event that the Acquisition is to be implemented </w:t>
      </w:r>
      <w:r w:rsidRPr="006D1D41">
        <w:rPr>
          <w:rFonts w:ascii="Times New Roman" w:hAnsi="Times New Roman" w:cs="Times New Roman"/>
          <w:i/>
          <w:iCs/>
          <w:lang w:val="en-GB"/>
        </w:rPr>
        <w:lastRenderedPageBreak/>
        <w:t>by means of a Takeover Offer, the Offer Document), which will contain the full terms and conditions of the Acquisition, including details of how to vote in respect of the Scheme. Any voting decision or response in relation to the Acquisition should be made solely on the basis of the Scheme Document (or, in the event that the Acquisition is to be implemented by means of a Takeover Offer, the Offer Document). DORE and Bidco urge DORE Shareholders to read the Scheme Document carefully when it becomes available because it will contain important information relating to the Acquisition.</w:t>
      </w:r>
    </w:p>
    <w:p w14:paraId="67930881" w14:textId="77777777" w:rsidR="009D062A" w:rsidRPr="006D1D41" w:rsidRDefault="009D062A" w:rsidP="009D062A">
      <w:pPr>
        <w:widowControl w:val="0"/>
        <w:overflowPunct w:val="0"/>
        <w:autoSpaceDE w:val="0"/>
        <w:autoSpaceDN w:val="0"/>
        <w:adjustRightInd w:val="0"/>
        <w:spacing w:after="0" w:line="261" w:lineRule="auto"/>
        <w:jc w:val="both"/>
        <w:rPr>
          <w:rFonts w:ascii="Times New Roman" w:hAnsi="Times New Roman" w:cs="Times New Roman"/>
          <w:i/>
          <w:iCs/>
          <w:lang w:val="en-GB"/>
        </w:rPr>
      </w:pPr>
    </w:p>
    <w:p w14:paraId="4E77D02D" w14:textId="390D70E1" w:rsidR="004F0885" w:rsidRPr="006D1D41" w:rsidRDefault="009D062A" w:rsidP="009D062A">
      <w:pPr>
        <w:widowControl w:val="0"/>
        <w:overflowPunct w:val="0"/>
        <w:autoSpaceDE w:val="0"/>
        <w:autoSpaceDN w:val="0"/>
        <w:adjustRightInd w:val="0"/>
        <w:spacing w:after="0" w:line="261" w:lineRule="auto"/>
        <w:jc w:val="both"/>
        <w:rPr>
          <w:rFonts w:ascii="Times New Roman" w:hAnsi="Times New Roman" w:cs="Times New Roman"/>
          <w:i/>
          <w:iCs/>
          <w:lang w:val="en-GB"/>
        </w:rPr>
      </w:pPr>
      <w:r w:rsidRPr="006D1D41">
        <w:rPr>
          <w:rFonts w:ascii="Times New Roman" w:hAnsi="Times New Roman" w:cs="Times New Roman"/>
          <w:i/>
          <w:iCs/>
          <w:lang w:val="en-GB"/>
        </w:rPr>
        <w:t>The statements contained in this announcement are made as at the date of this announcement, unless some other time is specified in relation to them, and the release of this announcement shall not give rise to any implication that there has been no change in the facts set out in this announcement since such date. This announcement does not constitute a prospectus or a prospectus equivalent document.</w:t>
      </w:r>
    </w:p>
    <w:p w14:paraId="19A30867" w14:textId="77777777" w:rsidR="009D062A" w:rsidRPr="006D1D41" w:rsidRDefault="009D062A" w:rsidP="009D062A">
      <w:pPr>
        <w:widowControl w:val="0"/>
        <w:overflowPunct w:val="0"/>
        <w:autoSpaceDE w:val="0"/>
        <w:autoSpaceDN w:val="0"/>
        <w:adjustRightInd w:val="0"/>
        <w:spacing w:after="0" w:line="261" w:lineRule="auto"/>
        <w:jc w:val="both"/>
        <w:rPr>
          <w:rFonts w:ascii="Times New Roman" w:hAnsi="Times New Roman" w:cs="Times New Roman"/>
          <w:i/>
          <w:iCs/>
          <w:lang w:val="en-GB"/>
        </w:rPr>
      </w:pPr>
    </w:p>
    <w:p w14:paraId="1E861589" w14:textId="77777777" w:rsidR="009D062A" w:rsidRPr="006D1D41" w:rsidRDefault="009D062A" w:rsidP="009D062A">
      <w:pPr>
        <w:widowControl w:val="0"/>
        <w:overflowPunct w:val="0"/>
        <w:autoSpaceDE w:val="0"/>
        <w:autoSpaceDN w:val="0"/>
        <w:adjustRightInd w:val="0"/>
        <w:spacing w:after="0" w:line="261" w:lineRule="auto"/>
        <w:jc w:val="both"/>
        <w:rPr>
          <w:rFonts w:ascii="Times New Roman" w:hAnsi="Times New Roman" w:cs="Times New Roman"/>
          <w:i/>
          <w:iCs/>
          <w:lang w:val="en-GB"/>
        </w:rPr>
      </w:pPr>
      <w:r w:rsidRPr="006D1D41">
        <w:rPr>
          <w:rFonts w:ascii="Times New Roman" w:hAnsi="Times New Roman" w:cs="Times New Roman"/>
          <w:i/>
          <w:iCs/>
          <w:lang w:val="en-GB"/>
        </w:rPr>
        <w:t>No person should construe the contents of this announcement as legal, financial or tax advice. If you are in any doubt about the contents of this announcement or the action you should take, you are recommended to seek your own independent financial advice immediately from your stockbroker, bank manager, solicitor, accountant, or independent financial adviser duly authorised under FSMA if you are resident in the United Kingdom or, if not, from another appropriately authorised independent financial adviser.</w:t>
      </w:r>
    </w:p>
    <w:p w14:paraId="19B97A91" w14:textId="77777777" w:rsidR="008E505B" w:rsidRPr="00762B2D" w:rsidRDefault="008E505B" w:rsidP="009D062A">
      <w:pPr>
        <w:widowControl w:val="0"/>
        <w:overflowPunct w:val="0"/>
        <w:autoSpaceDE w:val="0"/>
        <w:autoSpaceDN w:val="0"/>
        <w:adjustRightInd w:val="0"/>
        <w:spacing w:after="0" w:line="261" w:lineRule="auto"/>
        <w:jc w:val="both"/>
        <w:rPr>
          <w:rFonts w:ascii="Times New Roman" w:hAnsi="Times New Roman" w:cs="Times New Roman"/>
          <w:i/>
          <w:iCs/>
          <w:sz w:val="20"/>
          <w:szCs w:val="20"/>
          <w:lang w:val="en-GB"/>
        </w:rPr>
      </w:pPr>
    </w:p>
    <w:p w14:paraId="1D008CD3" w14:textId="08D55D6E"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b/>
          <w:bCs/>
          <w:i/>
          <w:iCs/>
        </w:rPr>
      </w:pPr>
      <w:r w:rsidRPr="007D0A4A">
        <w:rPr>
          <w:rFonts w:ascii="Times New Roman" w:hAnsi="Times New Roman" w:cs="Times New Roman"/>
          <w:b/>
          <w:bCs/>
          <w:i/>
          <w:iCs/>
        </w:rPr>
        <w:t xml:space="preserve">Overseas </w:t>
      </w:r>
      <w:r w:rsidR="006D1D41">
        <w:rPr>
          <w:rFonts w:ascii="Times New Roman" w:hAnsi="Times New Roman" w:cs="Times New Roman"/>
          <w:b/>
          <w:bCs/>
          <w:i/>
          <w:iCs/>
        </w:rPr>
        <w:t>s</w:t>
      </w:r>
      <w:r w:rsidRPr="007D0A4A">
        <w:rPr>
          <w:rFonts w:ascii="Times New Roman" w:hAnsi="Times New Roman" w:cs="Times New Roman"/>
          <w:b/>
          <w:bCs/>
          <w:i/>
          <w:iCs/>
        </w:rPr>
        <w:t>hareholders</w:t>
      </w:r>
    </w:p>
    <w:p w14:paraId="39272AAF" w14:textId="77777777"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p>
    <w:p w14:paraId="2E9D3F9C" w14:textId="62592E04" w:rsidR="00787FA1" w:rsidRPr="006D1D41" w:rsidRDefault="008465A6" w:rsidP="00787FA1">
      <w:pPr>
        <w:widowControl w:val="0"/>
        <w:overflowPunct w:val="0"/>
        <w:autoSpaceDE w:val="0"/>
        <w:autoSpaceDN w:val="0"/>
        <w:adjustRightInd w:val="0"/>
        <w:spacing w:after="0" w:line="240" w:lineRule="auto"/>
        <w:jc w:val="both"/>
        <w:rPr>
          <w:rFonts w:ascii="Times New Roman" w:hAnsi="Times New Roman" w:cs="Times New Roman"/>
          <w:i/>
          <w:iCs/>
          <w:sz w:val="24"/>
          <w:szCs w:val="24"/>
        </w:rPr>
      </w:pPr>
      <w:r w:rsidRPr="006D1D41">
        <w:rPr>
          <w:rFonts w:ascii="Times New Roman" w:hAnsi="Times New Roman" w:cs="Times New Roman"/>
          <w:i/>
          <w:iCs/>
        </w:rPr>
        <w:t>This announcement has been prepared in accordance with, and for the purpose of, complying with English law, the Code, MAR, the DTRs and the UK Listing Rules, and the information disclosed may not be the same as that which would have been disclosed if this announcement had been prepared in accordance with the laws of jurisdictions outside England.</w:t>
      </w:r>
      <w:r w:rsidRPr="006D1D41" w:rsidDel="006D1700">
        <w:rPr>
          <w:rFonts w:ascii="Times New Roman" w:hAnsi="Times New Roman" w:cs="Times New Roman"/>
          <w:i/>
          <w:iCs/>
        </w:rPr>
        <w:t xml:space="preserve"> </w:t>
      </w:r>
    </w:p>
    <w:p w14:paraId="619E1AD0"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097780EC" w14:textId="237BBFDE"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 xml:space="preserve">The release, publication or distribution of this </w:t>
      </w:r>
      <w:r w:rsidR="008465A6">
        <w:rPr>
          <w:rFonts w:ascii="Times New Roman" w:hAnsi="Times New Roman" w:cs="Times New Roman"/>
          <w:i/>
          <w:iCs/>
        </w:rPr>
        <w:t>announcement</w:t>
      </w:r>
      <w:r w:rsidR="008465A6" w:rsidRPr="007D0A4A">
        <w:rPr>
          <w:rFonts w:ascii="Times New Roman" w:hAnsi="Times New Roman" w:cs="Times New Roman"/>
          <w:i/>
          <w:iCs/>
        </w:rPr>
        <w:t xml:space="preserve"> </w:t>
      </w:r>
      <w:r w:rsidRPr="007D0A4A">
        <w:rPr>
          <w:rFonts w:ascii="Times New Roman" w:hAnsi="Times New Roman" w:cs="Times New Roman"/>
          <w:i/>
          <w:iCs/>
        </w:rPr>
        <w:t>in, into or from jurisdictions other than the United Kingdom may be restricted by law</w:t>
      </w:r>
      <w:r w:rsidR="008465A6">
        <w:rPr>
          <w:rFonts w:ascii="Times New Roman" w:hAnsi="Times New Roman" w:cs="Times New Roman"/>
          <w:i/>
          <w:iCs/>
        </w:rPr>
        <w:t xml:space="preserve"> and/or regulation</w:t>
      </w:r>
      <w:r w:rsidRPr="007D0A4A">
        <w:rPr>
          <w:rFonts w:ascii="Times New Roman" w:hAnsi="Times New Roman" w:cs="Times New Roman"/>
          <w:i/>
          <w:iCs/>
        </w:rPr>
        <w:t xml:space="preserve"> and therefore any persons who are</w:t>
      </w:r>
      <w:r w:rsidR="008465A6">
        <w:rPr>
          <w:rFonts w:ascii="Times New Roman" w:hAnsi="Times New Roman" w:cs="Times New Roman"/>
          <w:i/>
          <w:iCs/>
        </w:rPr>
        <w:t xml:space="preserve"> not resident in the United Kingdom or who are </w:t>
      </w:r>
      <w:r w:rsidRPr="007D0A4A">
        <w:rPr>
          <w:rFonts w:ascii="Times New Roman" w:hAnsi="Times New Roman" w:cs="Times New Roman"/>
          <w:i/>
          <w:iCs/>
        </w:rPr>
        <w:t xml:space="preserve">subject to the laws of any jurisdiction other than the United Kingdom (including Restricted Jurisdictions) should inform themselves about, and </w:t>
      </w:r>
      <w:r w:rsidRPr="000E101D">
        <w:rPr>
          <w:rFonts w:ascii="Times New Roman" w:hAnsi="Times New Roman" w:cs="Times New Roman"/>
          <w:i/>
          <w:iCs/>
        </w:rPr>
        <w:t>observe</w:t>
      </w:r>
      <w:r w:rsidR="00E62876" w:rsidRPr="000E101D">
        <w:rPr>
          <w:rFonts w:ascii="Times New Roman" w:hAnsi="Times New Roman" w:cs="Times New Roman"/>
          <w:i/>
          <w:iCs/>
        </w:rPr>
        <w:t xml:space="preserve"> </w:t>
      </w:r>
      <w:r w:rsidR="00E62876" w:rsidRPr="004679DE">
        <w:rPr>
          <w:rFonts w:ascii="Times New Roman" w:hAnsi="Times New Roman" w:cs="Times New Roman"/>
          <w:i/>
          <w:iCs/>
        </w:rPr>
        <w:t>any applicable legal or regulatory requirements. In particular, the ability of persons who are not resident in the</w:t>
      </w:r>
      <w:r w:rsidR="00E62876">
        <w:rPr>
          <w:rFonts w:ascii="Times New Roman" w:hAnsi="Times New Roman" w:cs="Times New Roman"/>
          <w:i/>
          <w:iCs/>
          <w:sz w:val="20"/>
          <w:szCs w:val="20"/>
        </w:rPr>
        <w:t xml:space="preserve"> </w:t>
      </w:r>
      <w:r w:rsidR="00E62876" w:rsidRPr="004679DE">
        <w:rPr>
          <w:rFonts w:ascii="Times New Roman" w:hAnsi="Times New Roman" w:cs="Times New Roman"/>
          <w:i/>
          <w:iCs/>
        </w:rPr>
        <w:t>United Kingdom or who are subject to the laws of any jurisdiction other than the United Kingdom to participate in the Acquisition or to vote their Scheme Voting Shares or DORE Shares (as applicable) in respect of the Scheme at the Court Meeting or the Resolutions at the General Meeting, or to appoint another person as proxy to vote at the Court Meeting or the General Meeting on their behalf, may be affected by the laws of the jurisdictions</w:t>
      </w:r>
      <w:r w:rsidRPr="007D0A4A">
        <w:rPr>
          <w:rFonts w:ascii="Times New Roman" w:hAnsi="Times New Roman" w:cs="Times New Roman"/>
          <w:i/>
          <w:iCs/>
        </w:rPr>
        <w:t xml:space="preserve"> in which they are located or to which they are subject. Any failure to comply with the applicable legal or regulatory requirements of any jurisdiction may constitute a violation of the securities laws and regulations of any such jurisdiction. To the fullest extent permitted by applicable law, the companies, advisers and persons involved in the Acquisition disclaim any responsibility or liability for the violation of such restrictions by any person.</w:t>
      </w:r>
    </w:p>
    <w:p w14:paraId="48998BAA"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3B52B163" w14:textId="2E9F57A2" w:rsidR="00987D97"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 xml:space="preserve">Unless otherwise determined by Bidco or required by the Code, and permitted by applicable law and regulation, the Acquisition </w:t>
      </w:r>
      <w:r w:rsidR="00987D97">
        <w:rPr>
          <w:rFonts w:ascii="Times New Roman" w:hAnsi="Times New Roman" w:cs="Times New Roman"/>
          <w:i/>
          <w:iCs/>
        </w:rPr>
        <w:t>shall</w:t>
      </w:r>
      <w:r w:rsidR="00987D97" w:rsidRPr="007D0A4A">
        <w:rPr>
          <w:rFonts w:ascii="Times New Roman" w:hAnsi="Times New Roman" w:cs="Times New Roman"/>
          <w:i/>
          <w:iCs/>
        </w:rPr>
        <w:t xml:space="preserve"> </w:t>
      </w:r>
      <w:r w:rsidRPr="007D0A4A">
        <w:rPr>
          <w:rFonts w:ascii="Times New Roman" w:hAnsi="Times New Roman" w:cs="Times New Roman"/>
          <w:i/>
          <w:iCs/>
        </w:rPr>
        <w:t xml:space="preserve">not be made available, directly or indirectly, in, into or from a Restricted Jurisdiction or any other jurisdiction where to do so would violate the laws </w:t>
      </w:r>
      <w:r w:rsidR="00987D97">
        <w:rPr>
          <w:rFonts w:ascii="Times New Roman" w:hAnsi="Times New Roman" w:cs="Times New Roman"/>
          <w:i/>
          <w:iCs/>
        </w:rPr>
        <w:t xml:space="preserve">or regulations </w:t>
      </w:r>
      <w:r w:rsidRPr="007D0A4A">
        <w:rPr>
          <w:rFonts w:ascii="Times New Roman" w:hAnsi="Times New Roman" w:cs="Times New Roman"/>
          <w:i/>
          <w:iCs/>
        </w:rPr>
        <w:t xml:space="preserve">in that jurisdiction and no person may vote in favour of the </w:t>
      </w:r>
      <w:r w:rsidR="00987D97" w:rsidRPr="000E101D">
        <w:rPr>
          <w:rFonts w:ascii="Times New Roman" w:hAnsi="Times New Roman" w:cs="Times New Roman"/>
          <w:i/>
          <w:iCs/>
        </w:rPr>
        <w:t xml:space="preserve">Acquisition </w:t>
      </w:r>
      <w:r w:rsidR="00987D97" w:rsidRPr="004679DE">
        <w:rPr>
          <w:rFonts w:ascii="Times New Roman" w:hAnsi="Times New Roman" w:cs="Times New Roman"/>
          <w:i/>
          <w:iCs/>
        </w:rPr>
        <w:t>by use of the mails or any other means or instrumentality (including, without limitation, facsimile, e-mail or other electronic transmission, telex or telephone) of interstate or foreign commerce of, or any facility of a national, state or other securities exchange of, any Restricted Jurisdiction</w:t>
      </w:r>
      <w:r w:rsidR="00987D97">
        <w:rPr>
          <w:rFonts w:ascii="Times New Roman" w:hAnsi="Times New Roman" w:cs="Times New Roman"/>
          <w:i/>
          <w:iCs/>
          <w:sz w:val="20"/>
          <w:szCs w:val="20"/>
        </w:rPr>
        <w:t xml:space="preserve"> </w:t>
      </w:r>
      <w:r w:rsidRPr="007D0A4A">
        <w:rPr>
          <w:rFonts w:ascii="Times New Roman" w:hAnsi="Times New Roman" w:cs="Times New Roman"/>
          <w:i/>
          <w:iCs/>
        </w:rPr>
        <w:t xml:space="preserve">or from within any Restricted Jurisdiction or any other jurisdiction if to do so would constitute a violation of the laws of that jurisdiction. </w:t>
      </w:r>
    </w:p>
    <w:p w14:paraId="6E7DA971" w14:textId="77777777" w:rsidR="00987D97" w:rsidRDefault="00987D97" w:rsidP="00787FA1">
      <w:pPr>
        <w:widowControl w:val="0"/>
        <w:overflowPunct w:val="0"/>
        <w:autoSpaceDE w:val="0"/>
        <w:autoSpaceDN w:val="0"/>
        <w:adjustRightInd w:val="0"/>
        <w:spacing w:after="0" w:line="240" w:lineRule="auto"/>
        <w:jc w:val="both"/>
        <w:rPr>
          <w:rFonts w:ascii="Times New Roman" w:hAnsi="Times New Roman" w:cs="Times New Roman"/>
          <w:i/>
          <w:iCs/>
        </w:rPr>
      </w:pPr>
    </w:p>
    <w:p w14:paraId="458FDFDC" w14:textId="0A5E42A8" w:rsidR="00787FA1" w:rsidRPr="007D0A4A" w:rsidRDefault="00987D97" w:rsidP="00787FA1">
      <w:pPr>
        <w:widowControl w:val="0"/>
        <w:overflowPunct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C</w:t>
      </w:r>
      <w:r w:rsidR="00787FA1" w:rsidRPr="007D0A4A">
        <w:rPr>
          <w:rFonts w:ascii="Times New Roman" w:hAnsi="Times New Roman" w:cs="Times New Roman"/>
          <w:i/>
          <w:iCs/>
        </w:rPr>
        <w:t xml:space="preserve">opies of this </w:t>
      </w:r>
      <w:r>
        <w:rPr>
          <w:rFonts w:ascii="Times New Roman" w:hAnsi="Times New Roman" w:cs="Times New Roman"/>
          <w:i/>
          <w:iCs/>
        </w:rPr>
        <w:t xml:space="preserve">announcement </w:t>
      </w:r>
      <w:r w:rsidR="00787FA1" w:rsidRPr="007D0A4A">
        <w:rPr>
          <w:rFonts w:ascii="Times New Roman" w:hAnsi="Times New Roman" w:cs="Times New Roman"/>
          <w:i/>
          <w:iCs/>
        </w:rPr>
        <w:t xml:space="preserve">and any formal documentation relating to the Acquisition are not being, and must not be, directly or indirectly, mailed or otherwise forwarded, distributed or sent in, into or from any Restricted Jurisdiction or any other jurisdiction where to do so would </w:t>
      </w:r>
      <w:r>
        <w:rPr>
          <w:rFonts w:ascii="Times New Roman" w:hAnsi="Times New Roman" w:cs="Times New Roman"/>
          <w:i/>
          <w:iCs/>
        </w:rPr>
        <w:t xml:space="preserve">constitute a violation </w:t>
      </w:r>
      <w:r>
        <w:rPr>
          <w:rFonts w:ascii="Times New Roman" w:hAnsi="Times New Roman" w:cs="Times New Roman"/>
          <w:i/>
          <w:iCs/>
        </w:rPr>
        <w:lastRenderedPageBreak/>
        <w:t>of</w:t>
      </w:r>
      <w:r w:rsidRPr="007D0A4A">
        <w:rPr>
          <w:rFonts w:ascii="Times New Roman" w:hAnsi="Times New Roman" w:cs="Times New Roman"/>
          <w:i/>
          <w:iCs/>
        </w:rPr>
        <w:t xml:space="preserve"> </w:t>
      </w:r>
      <w:r w:rsidR="00787FA1" w:rsidRPr="007D0A4A">
        <w:rPr>
          <w:rFonts w:ascii="Times New Roman" w:hAnsi="Times New Roman" w:cs="Times New Roman"/>
          <w:i/>
          <w:iCs/>
        </w:rPr>
        <w:t>the laws</w:t>
      </w:r>
      <w:r>
        <w:rPr>
          <w:rFonts w:ascii="Times New Roman" w:hAnsi="Times New Roman" w:cs="Times New Roman"/>
          <w:i/>
          <w:iCs/>
        </w:rPr>
        <w:t xml:space="preserve"> or regulations of such</w:t>
      </w:r>
      <w:r w:rsidR="00787FA1" w:rsidRPr="007D0A4A">
        <w:rPr>
          <w:rFonts w:ascii="Times New Roman" w:hAnsi="Times New Roman" w:cs="Times New Roman"/>
          <w:i/>
          <w:iCs/>
        </w:rPr>
        <w:t xml:space="preserve">  jurisdiction and persons receiving </w:t>
      </w:r>
      <w:r>
        <w:rPr>
          <w:rFonts w:ascii="Times New Roman" w:hAnsi="Times New Roman" w:cs="Times New Roman"/>
          <w:i/>
          <w:iCs/>
        </w:rPr>
        <w:t>such documents</w:t>
      </w:r>
      <w:r w:rsidR="00787FA1" w:rsidRPr="007D0A4A">
        <w:rPr>
          <w:rFonts w:ascii="Times New Roman" w:hAnsi="Times New Roman" w:cs="Times New Roman"/>
          <w:i/>
          <w:iCs/>
        </w:rPr>
        <w:t xml:space="preserve"> (including custodians, nominees and trustees) must not mail or otherwise forward, distribute or send them in, into or from any Restricted Jurisdiction or any other jurisdiction where to do so would constitute a violation of the laws or regulations of such jurisdiction. Doing so may render invalid any related purported vote in respect of</w:t>
      </w:r>
      <w:r>
        <w:rPr>
          <w:rFonts w:ascii="Times New Roman" w:hAnsi="Times New Roman" w:cs="Times New Roman"/>
          <w:i/>
          <w:iCs/>
        </w:rPr>
        <w:t>, or acceptance of</w:t>
      </w:r>
      <w:r w:rsidR="006D1D41">
        <w:rPr>
          <w:rFonts w:ascii="Times New Roman" w:hAnsi="Times New Roman" w:cs="Times New Roman"/>
          <w:i/>
          <w:iCs/>
        </w:rPr>
        <w:t>,</w:t>
      </w:r>
      <w:r>
        <w:rPr>
          <w:rFonts w:ascii="Times New Roman" w:hAnsi="Times New Roman" w:cs="Times New Roman"/>
          <w:i/>
          <w:iCs/>
        </w:rPr>
        <w:t xml:space="preserve"> </w:t>
      </w:r>
      <w:r w:rsidR="00787FA1" w:rsidRPr="007D0A4A">
        <w:rPr>
          <w:rFonts w:ascii="Times New Roman" w:hAnsi="Times New Roman" w:cs="Times New Roman"/>
          <w:i/>
          <w:iCs/>
        </w:rPr>
        <w:t xml:space="preserve">the Acquisition. </w:t>
      </w:r>
    </w:p>
    <w:p w14:paraId="3B8BD25D" w14:textId="77777777"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p>
    <w:p w14:paraId="7E1212A6" w14:textId="1228E485"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 xml:space="preserve">If the Acquisition is implemented by way of a Takeover Offer (unless otherwise permitted by applicable law </w:t>
      </w:r>
      <w:r w:rsidR="00987D97">
        <w:rPr>
          <w:rFonts w:ascii="Times New Roman" w:hAnsi="Times New Roman" w:cs="Times New Roman"/>
          <w:i/>
          <w:iCs/>
        </w:rPr>
        <w:t>or</w:t>
      </w:r>
      <w:r w:rsidR="00987D97" w:rsidRPr="007D0A4A">
        <w:rPr>
          <w:rFonts w:ascii="Times New Roman" w:hAnsi="Times New Roman" w:cs="Times New Roman"/>
          <w:i/>
          <w:iCs/>
        </w:rPr>
        <w:t xml:space="preserve"> </w:t>
      </w:r>
      <w:r w:rsidRPr="007D0A4A">
        <w:rPr>
          <w:rFonts w:ascii="Times New Roman" w:hAnsi="Times New Roman" w:cs="Times New Roman"/>
          <w:i/>
          <w:iCs/>
        </w:rPr>
        <w:t xml:space="preserve">regulation), the Takeover Offer may not be made, directly or indirectly, in or into, or by use of </w:t>
      </w:r>
      <w:r w:rsidR="00987D97">
        <w:rPr>
          <w:rFonts w:ascii="Times New Roman" w:hAnsi="Times New Roman" w:cs="Times New Roman"/>
          <w:i/>
          <w:iCs/>
        </w:rPr>
        <w:t xml:space="preserve">the </w:t>
      </w:r>
      <w:r w:rsidRPr="007D0A4A">
        <w:rPr>
          <w:rFonts w:ascii="Times New Roman" w:hAnsi="Times New Roman" w:cs="Times New Roman"/>
          <w:i/>
          <w:iCs/>
        </w:rPr>
        <w:t xml:space="preserve">mails or any </w:t>
      </w:r>
      <w:r w:rsidR="00987D97">
        <w:rPr>
          <w:rFonts w:ascii="Times New Roman" w:hAnsi="Times New Roman" w:cs="Times New Roman"/>
          <w:i/>
          <w:iCs/>
        </w:rPr>
        <w:t xml:space="preserve">other </w:t>
      </w:r>
      <w:r w:rsidRPr="007D0A4A">
        <w:rPr>
          <w:rFonts w:ascii="Times New Roman" w:hAnsi="Times New Roman" w:cs="Times New Roman"/>
          <w:i/>
          <w:iCs/>
        </w:rPr>
        <w:t xml:space="preserve">means or instrumentality (including, </w:t>
      </w:r>
      <w:r w:rsidR="00987D97">
        <w:rPr>
          <w:rFonts w:ascii="Times New Roman" w:hAnsi="Times New Roman" w:cs="Times New Roman"/>
          <w:i/>
          <w:iCs/>
        </w:rPr>
        <w:t>without limitation,</w:t>
      </w:r>
      <w:r w:rsidRPr="007D0A4A">
        <w:rPr>
          <w:rFonts w:ascii="Times New Roman" w:hAnsi="Times New Roman" w:cs="Times New Roman"/>
          <w:i/>
          <w:iCs/>
        </w:rPr>
        <w:t xml:space="preserve"> facsimile, e</w:t>
      </w:r>
      <w:r w:rsidR="00987D97">
        <w:rPr>
          <w:rFonts w:ascii="Times New Roman" w:hAnsi="Times New Roman" w:cs="Times New Roman"/>
          <w:i/>
          <w:iCs/>
        </w:rPr>
        <w:t>-</w:t>
      </w:r>
      <w:r w:rsidRPr="007D0A4A">
        <w:rPr>
          <w:rFonts w:ascii="Times New Roman" w:hAnsi="Times New Roman" w:cs="Times New Roman"/>
          <w:i/>
          <w:iCs/>
        </w:rPr>
        <w:t>mail or other electronic transmission, telex or telephone) of interstate or foreign commerce of, or any facility of a national, state or other securities exchange of</w:t>
      </w:r>
      <w:r w:rsidR="006D1D41">
        <w:rPr>
          <w:rFonts w:ascii="Times New Roman" w:hAnsi="Times New Roman" w:cs="Times New Roman"/>
          <w:i/>
          <w:iCs/>
        </w:rPr>
        <w:t>,</w:t>
      </w:r>
      <w:r w:rsidRPr="007D0A4A">
        <w:rPr>
          <w:rFonts w:ascii="Times New Roman" w:hAnsi="Times New Roman" w:cs="Times New Roman"/>
          <w:i/>
          <w:iCs/>
        </w:rPr>
        <w:t xml:space="preserve"> any Restricted Jurisdiction and the Takeover Offer </w:t>
      </w:r>
      <w:r w:rsidR="00987D97">
        <w:rPr>
          <w:rFonts w:ascii="Times New Roman" w:hAnsi="Times New Roman" w:cs="Times New Roman"/>
          <w:i/>
          <w:iCs/>
        </w:rPr>
        <w:t>will</w:t>
      </w:r>
      <w:r w:rsidRPr="007D0A4A">
        <w:rPr>
          <w:rFonts w:ascii="Times New Roman" w:hAnsi="Times New Roman" w:cs="Times New Roman"/>
          <w:i/>
          <w:iCs/>
        </w:rPr>
        <w:t xml:space="preserve"> not be capable of acceptance by any such use, means, instrumentality or facilit</w:t>
      </w:r>
      <w:r w:rsidR="00987D97">
        <w:rPr>
          <w:rFonts w:ascii="Times New Roman" w:hAnsi="Times New Roman" w:cs="Times New Roman"/>
          <w:i/>
          <w:iCs/>
        </w:rPr>
        <w:t>y</w:t>
      </w:r>
      <w:r w:rsidRPr="007D0A4A">
        <w:rPr>
          <w:rFonts w:ascii="Times New Roman" w:hAnsi="Times New Roman" w:cs="Times New Roman"/>
          <w:i/>
          <w:iCs/>
        </w:rPr>
        <w:t xml:space="preserve"> or from or within any Restricted Jurisdiction.</w:t>
      </w:r>
    </w:p>
    <w:p w14:paraId="1662547B"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61A261FC" w14:textId="77777777" w:rsidR="00987D97" w:rsidRPr="00091DE5" w:rsidRDefault="00987D97" w:rsidP="00987D97">
      <w:pPr>
        <w:widowControl w:val="0"/>
        <w:overflowPunct w:val="0"/>
        <w:autoSpaceDE w:val="0"/>
        <w:autoSpaceDN w:val="0"/>
        <w:adjustRightInd w:val="0"/>
        <w:spacing w:after="0" w:line="240" w:lineRule="auto"/>
        <w:jc w:val="both"/>
        <w:rPr>
          <w:rFonts w:ascii="Times New Roman" w:hAnsi="Times New Roman" w:cs="Times New Roman"/>
          <w:i/>
          <w:iCs/>
        </w:rPr>
      </w:pPr>
      <w:r w:rsidRPr="00091DE5">
        <w:rPr>
          <w:rFonts w:ascii="Times New Roman" w:hAnsi="Times New Roman" w:cs="Times New Roman"/>
          <w:i/>
          <w:iCs/>
        </w:rPr>
        <w:t xml:space="preserve">The availability of the Acquisition to DORE Shareholders who are not resident in the United Kingdom may be affected by the laws of the jurisdiction in which they are resident. Persons who are not resident in the United Kingdom should inform themselves of, and observe, any applicable requirements. </w:t>
      </w:r>
    </w:p>
    <w:p w14:paraId="2D95EE78" w14:textId="77777777" w:rsidR="00987D97" w:rsidRPr="00091DE5" w:rsidRDefault="00987D97" w:rsidP="00987D97">
      <w:pPr>
        <w:widowControl w:val="0"/>
        <w:overflowPunct w:val="0"/>
        <w:autoSpaceDE w:val="0"/>
        <w:autoSpaceDN w:val="0"/>
        <w:adjustRightInd w:val="0"/>
        <w:spacing w:after="0" w:line="240" w:lineRule="auto"/>
        <w:jc w:val="both"/>
        <w:rPr>
          <w:rFonts w:ascii="Times New Roman" w:hAnsi="Times New Roman" w:cs="Times New Roman"/>
          <w:i/>
          <w:iCs/>
        </w:rPr>
      </w:pPr>
    </w:p>
    <w:p w14:paraId="62961BCB" w14:textId="4CB5B752" w:rsidR="00987D97" w:rsidRDefault="00987D97" w:rsidP="006D1D41">
      <w:pPr>
        <w:widowControl w:val="0"/>
        <w:overflowPunct w:val="0"/>
        <w:autoSpaceDE w:val="0"/>
        <w:autoSpaceDN w:val="0"/>
        <w:adjustRightInd w:val="0"/>
        <w:spacing w:after="0" w:line="240" w:lineRule="auto"/>
        <w:jc w:val="both"/>
        <w:rPr>
          <w:rFonts w:ascii="Times New Roman" w:hAnsi="Times New Roman" w:cs="Times New Roman"/>
          <w:i/>
          <w:iCs/>
        </w:rPr>
      </w:pPr>
      <w:r w:rsidRPr="00091DE5">
        <w:rPr>
          <w:rFonts w:ascii="Times New Roman" w:hAnsi="Times New Roman" w:cs="Times New Roman"/>
          <w:i/>
          <w:iCs/>
        </w:rPr>
        <w:t xml:space="preserve">Further details in relation to </w:t>
      </w:r>
      <w:r w:rsidR="006D1D41">
        <w:rPr>
          <w:rFonts w:ascii="Times New Roman" w:hAnsi="Times New Roman" w:cs="Times New Roman"/>
          <w:i/>
          <w:iCs/>
        </w:rPr>
        <w:t xml:space="preserve">DORE </w:t>
      </w:r>
      <w:r w:rsidRPr="00091DE5">
        <w:rPr>
          <w:rFonts w:ascii="Times New Roman" w:hAnsi="Times New Roman" w:cs="Times New Roman"/>
          <w:i/>
          <w:iCs/>
        </w:rPr>
        <w:t>Shareholders</w:t>
      </w:r>
      <w:r w:rsidR="006D1D41">
        <w:rPr>
          <w:rFonts w:ascii="Times New Roman" w:hAnsi="Times New Roman" w:cs="Times New Roman"/>
          <w:i/>
          <w:iCs/>
        </w:rPr>
        <w:t xml:space="preserve"> in overseas jurisdictions</w:t>
      </w:r>
      <w:r w:rsidRPr="00091DE5">
        <w:rPr>
          <w:rFonts w:ascii="Times New Roman" w:hAnsi="Times New Roman" w:cs="Times New Roman"/>
          <w:i/>
          <w:iCs/>
        </w:rPr>
        <w:t xml:space="preserve"> </w:t>
      </w:r>
      <w:r w:rsidR="000E101D">
        <w:rPr>
          <w:rFonts w:ascii="Times New Roman" w:hAnsi="Times New Roman" w:cs="Times New Roman"/>
          <w:i/>
          <w:iCs/>
        </w:rPr>
        <w:t>will be</w:t>
      </w:r>
      <w:r w:rsidRPr="00091DE5">
        <w:rPr>
          <w:rFonts w:ascii="Times New Roman" w:hAnsi="Times New Roman" w:cs="Times New Roman"/>
          <w:i/>
          <w:iCs/>
        </w:rPr>
        <w:t xml:space="preserve"> contained in the Scheme Document.</w:t>
      </w:r>
      <w:r w:rsidR="000E101D">
        <w:rPr>
          <w:rFonts w:ascii="Times New Roman" w:hAnsi="Times New Roman" w:cs="Times New Roman"/>
          <w:i/>
          <w:iCs/>
        </w:rPr>
        <w:tab/>
      </w:r>
    </w:p>
    <w:p w14:paraId="2A570E34" w14:textId="77777777" w:rsidR="006D1D41" w:rsidRDefault="006D1D41" w:rsidP="006D1D41">
      <w:pPr>
        <w:widowControl w:val="0"/>
        <w:overflowPunct w:val="0"/>
        <w:autoSpaceDE w:val="0"/>
        <w:autoSpaceDN w:val="0"/>
        <w:adjustRightInd w:val="0"/>
        <w:spacing w:after="0" w:line="240" w:lineRule="auto"/>
        <w:jc w:val="both"/>
        <w:rPr>
          <w:rFonts w:ascii="Times New Roman" w:hAnsi="Times New Roman" w:cs="Times New Roman"/>
          <w:i/>
          <w:iCs/>
        </w:rPr>
      </w:pPr>
    </w:p>
    <w:p w14:paraId="73779A3B" w14:textId="220D30C4" w:rsidR="006D1D41" w:rsidRDefault="006D1D41" w:rsidP="006D1D41">
      <w:pPr>
        <w:widowControl w:val="0"/>
        <w:overflowPunct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The Acquisition will be subject to the applicable requirements of the Companies Act, the Court, the Code, the Panel, the FCA, the London Stock Exchange and the Registrar of Companies. </w:t>
      </w:r>
    </w:p>
    <w:p w14:paraId="275C8AA0"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243EE81B" w14:textId="462B72F3" w:rsidR="00787FA1" w:rsidRPr="007D0A4A" w:rsidRDefault="00987D97" w:rsidP="00787FA1">
      <w:pPr>
        <w:widowControl w:val="0"/>
        <w:autoSpaceDE w:val="0"/>
        <w:autoSpaceDN w:val="0"/>
        <w:adjustRightInd w:val="0"/>
        <w:spacing w:after="0" w:line="240" w:lineRule="auto"/>
        <w:rPr>
          <w:rFonts w:ascii="Times New Roman" w:hAnsi="Times New Roman" w:cs="Times New Roman"/>
          <w:i/>
          <w:iCs/>
        </w:rPr>
      </w:pPr>
      <w:r>
        <w:rPr>
          <w:rFonts w:ascii="Times New Roman" w:hAnsi="Times New Roman" w:cs="Times New Roman"/>
          <w:b/>
          <w:bCs/>
          <w:i/>
          <w:iCs/>
        </w:rPr>
        <w:t>Additional information for US investors</w:t>
      </w:r>
    </w:p>
    <w:p w14:paraId="1C5B0E55"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6C418108" w14:textId="0F5DF434" w:rsidR="00787FA1" w:rsidRPr="007D0A4A" w:rsidRDefault="00787FA1" w:rsidP="00787FA1">
      <w:pPr>
        <w:widowControl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 xml:space="preserve">The Acquisition relates to the shares of an English company and is </w:t>
      </w:r>
      <w:r w:rsidR="006D1D41">
        <w:rPr>
          <w:rFonts w:ascii="Times New Roman" w:hAnsi="Times New Roman" w:cs="Times New Roman"/>
          <w:i/>
          <w:iCs/>
        </w:rPr>
        <w:t>expected to be implemented</w:t>
      </w:r>
      <w:r w:rsidRPr="007D0A4A">
        <w:rPr>
          <w:rFonts w:ascii="Times New Roman" w:hAnsi="Times New Roman" w:cs="Times New Roman"/>
          <w:i/>
          <w:iCs/>
        </w:rPr>
        <w:t xml:space="preserve"> by means of a scheme of arrangement provided for under</w:t>
      </w:r>
      <w:r w:rsidR="00987D97">
        <w:rPr>
          <w:rFonts w:ascii="Times New Roman" w:hAnsi="Times New Roman" w:cs="Times New Roman"/>
          <w:i/>
          <w:iCs/>
        </w:rPr>
        <w:t xml:space="preserve"> the Companies Act</w:t>
      </w:r>
      <w:r w:rsidRPr="007D0A4A">
        <w:rPr>
          <w:rFonts w:ascii="Times New Roman" w:hAnsi="Times New Roman" w:cs="Times New Roman"/>
          <w:i/>
          <w:iCs/>
        </w:rPr>
        <w:t xml:space="preserve">. A transaction </w:t>
      </w:r>
      <w:r w:rsidR="006D1D41">
        <w:rPr>
          <w:rFonts w:ascii="Times New Roman" w:hAnsi="Times New Roman" w:cs="Times New Roman"/>
          <w:i/>
          <w:iCs/>
        </w:rPr>
        <w:t>implemented</w:t>
      </w:r>
      <w:r w:rsidRPr="007D0A4A">
        <w:rPr>
          <w:rFonts w:ascii="Times New Roman" w:hAnsi="Times New Roman" w:cs="Times New Roman"/>
          <w:i/>
          <w:iCs/>
        </w:rPr>
        <w:t xml:space="preserve"> by means of a scheme of arrangement is not subject to the tender offer</w:t>
      </w:r>
      <w:r w:rsidR="006C3E74">
        <w:rPr>
          <w:rFonts w:ascii="Times New Roman" w:hAnsi="Times New Roman" w:cs="Times New Roman"/>
          <w:i/>
          <w:iCs/>
        </w:rPr>
        <w:t xml:space="preserve"> rules</w:t>
      </w:r>
      <w:r w:rsidRPr="007D0A4A">
        <w:rPr>
          <w:rFonts w:ascii="Times New Roman" w:hAnsi="Times New Roman" w:cs="Times New Roman"/>
          <w:i/>
          <w:iCs/>
        </w:rPr>
        <w:t xml:space="preserve"> or </w:t>
      </w:r>
      <w:r w:rsidR="006C3E74">
        <w:rPr>
          <w:rFonts w:ascii="Times New Roman" w:hAnsi="Times New Roman" w:cs="Times New Roman"/>
          <w:i/>
          <w:iCs/>
        </w:rPr>
        <w:t xml:space="preserve">the </w:t>
      </w:r>
      <w:r w:rsidRPr="007D0A4A">
        <w:rPr>
          <w:rFonts w:ascii="Times New Roman" w:hAnsi="Times New Roman" w:cs="Times New Roman"/>
          <w:i/>
          <w:iCs/>
        </w:rPr>
        <w:t xml:space="preserve">proxy solicitation rules under the US Exchange Act. </w:t>
      </w:r>
      <w:r w:rsidR="00987D97">
        <w:rPr>
          <w:rFonts w:ascii="Times New Roman" w:hAnsi="Times New Roman" w:cs="Times New Roman"/>
          <w:i/>
          <w:iCs/>
        </w:rPr>
        <w:t>T</w:t>
      </w:r>
      <w:r w:rsidRPr="007D0A4A">
        <w:rPr>
          <w:rFonts w:ascii="Times New Roman" w:hAnsi="Times New Roman" w:cs="Times New Roman"/>
          <w:i/>
          <w:iCs/>
        </w:rPr>
        <w:t>he Acquisition is subject to the disclosure requirements and practices</w:t>
      </w:r>
      <w:r w:rsidR="00987D97">
        <w:rPr>
          <w:rFonts w:ascii="Times New Roman" w:hAnsi="Times New Roman" w:cs="Times New Roman"/>
          <w:i/>
          <w:iCs/>
        </w:rPr>
        <w:t xml:space="preserve"> </w:t>
      </w:r>
      <w:r w:rsidR="00987D97" w:rsidRPr="00091DE5">
        <w:rPr>
          <w:rFonts w:ascii="Times New Roman" w:hAnsi="Times New Roman" w:cs="Times New Roman"/>
          <w:i/>
          <w:iCs/>
        </w:rPr>
        <w:t>applicable to a scheme of arrangement involving a target company in England whose shares are traded on the main market of the London Stock Exchange, which differ from the disclosure requirements of the US tender offer and proxy solicitation rules</w:t>
      </w:r>
      <w:r w:rsidRPr="007D0A4A">
        <w:rPr>
          <w:rFonts w:ascii="Times New Roman" w:hAnsi="Times New Roman" w:cs="Times New Roman"/>
          <w:i/>
          <w:iCs/>
        </w:rPr>
        <w:t>.</w:t>
      </w:r>
    </w:p>
    <w:p w14:paraId="28000BEA"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24D5DB2A" w14:textId="23B9441A"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The financial information</w:t>
      </w:r>
      <w:r w:rsidR="0096439F">
        <w:rPr>
          <w:rFonts w:ascii="Times New Roman" w:hAnsi="Times New Roman" w:cs="Times New Roman"/>
          <w:i/>
          <w:iCs/>
        </w:rPr>
        <w:t xml:space="preserve"> with respect to DORE</w:t>
      </w:r>
      <w:r w:rsidRPr="007D0A4A">
        <w:rPr>
          <w:rFonts w:ascii="Times New Roman" w:hAnsi="Times New Roman" w:cs="Times New Roman"/>
          <w:i/>
          <w:iCs/>
        </w:rPr>
        <w:t xml:space="preserve"> included in this </w:t>
      </w:r>
      <w:r w:rsidR="0096439F">
        <w:rPr>
          <w:rFonts w:ascii="Times New Roman" w:hAnsi="Times New Roman" w:cs="Times New Roman"/>
          <w:i/>
          <w:iCs/>
        </w:rPr>
        <w:t xml:space="preserve">announcement </w:t>
      </w:r>
      <w:r w:rsidR="00D97E0C">
        <w:rPr>
          <w:rFonts w:ascii="Times New Roman" w:hAnsi="Times New Roman" w:cs="Times New Roman"/>
          <w:i/>
          <w:iCs/>
        </w:rPr>
        <w:t>or that may be included</w:t>
      </w:r>
      <w:r w:rsidR="0096439F">
        <w:rPr>
          <w:rFonts w:ascii="Times New Roman" w:hAnsi="Times New Roman" w:cs="Times New Roman"/>
          <w:i/>
          <w:iCs/>
        </w:rPr>
        <w:t xml:space="preserve"> in the Scheme Document (or, if the Acquisition is implemented by way of a Takeover Offer, the Offer Document)</w:t>
      </w:r>
      <w:r w:rsidRPr="007D0A4A">
        <w:rPr>
          <w:rFonts w:ascii="Times New Roman" w:hAnsi="Times New Roman" w:cs="Times New Roman"/>
          <w:i/>
          <w:iCs/>
        </w:rPr>
        <w:t xml:space="preserve"> has been </w:t>
      </w:r>
      <w:r w:rsidR="00D97E0C">
        <w:rPr>
          <w:rFonts w:ascii="Times New Roman" w:hAnsi="Times New Roman" w:cs="Times New Roman"/>
          <w:i/>
          <w:iCs/>
        </w:rPr>
        <w:t xml:space="preserve">or will </w:t>
      </w:r>
      <w:r w:rsidR="006C3E74">
        <w:rPr>
          <w:rFonts w:ascii="Times New Roman" w:hAnsi="Times New Roman" w:cs="Times New Roman"/>
          <w:i/>
          <w:iCs/>
        </w:rPr>
        <w:t xml:space="preserve">have </w:t>
      </w:r>
      <w:r w:rsidR="00D97E0C">
        <w:rPr>
          <w:rFonts w:ascii="Times New Roman" w:hAnsi="Times New Roman" w:cs="Times New Roman"/>
          <w:i/>
          <w:iCs/>
        </w:rPr>
        <w:t>be</w:t>
      </w:r>
      <w:r w:rsidR="006C3E74">
        <w:rPr>
          <w:rFonts w:ascii="Times New Roman" w:hAnsi="Times New Roman" w:cs="Times New Roman"/>
          <w:i/>
          <w:iCs/>
        </w:rPr>
        <w:t>en</w:t>
      </w:r>
      <w:r w:rsidR="00D97E0C">
        <w:rPr>
          <w:rFonts w:ascii="Times New Roman" w:hAnsi="Times New Roman" w:cs="Times New Roman"/>
          <w:i/>
          <w:iCs/>
        </w:rPr>
        <w:t xml:space="preserve"> </w:t>
      </w:r>
      <w:r w:rsidRPr="007D0A4A">
        <w:rPr>
          <w:rFonts w:ascii="Times New Roman" w:hAnsi="Times New Roman" w:cs="Times New Roman"/>
          <w:i/>
          <w:iCs/>
        </w:rPr>
        <w:t xml:space="preserve">prepared in accordance with accounting standards applicable in the </w:t>
      </w:r>
      <w:r w:rsidR="0096439F">
        <w:rPr>
          <w:rFonts w:ascii="Times New Roman" w:hAnsi="Times New Roman" w:cs="Times New Roman"/>
          <w:i/>
          <w:iCs/>
        </w:rPr>
        <w:t>UK</w:t>
      </w:r>
      <w:r w:rsidRPr="007D0A4A">
        <w:rPr>
          <w:rFonts w:ascii="Times New Roman" w:hAnsi="Times New Roman" w:cs="Times New Roman"/>
          <w:i/>
          <w:iCs/>
        </w:rPr>
        <w:t xml:space="preserve"> and may not </w:t>
      </w:r>
      <w:r w:rsidR="0096439F">
        <w:rPr>
          <w:rFonts w:ascii="Times New Roman" w:hAnsi="Times New Roman" w:cs="Times New Roman"/>
          <w:i/>
          <w:iCs/>
        </w:rPr>
        <w:t xml:space="preserve">therefore </w:t>
      </w:r>
      <w:r w:rsidRPr="007D0A4A">
        <w:rPr>
          <w:rFonts w:ascii="Times New Roman" w:hAnsi="Times New Roman" w:cs="Times New Roman"/>
          <w:i/>
          <w:iCs/>
        </w:rPr>
        <w:t>be comparable to the financial information of US companies or companies whose financial statements are prepared in accordance with generally accepted accounting principles in the</w:t>
      </w:r>
      <w:r w:rsidR="0096439F">
        <w:rPr>
          <w:rFonts w:ascii="Times New Roman" w:hAnsi="Times New Roman" w:cs="Times New Roman"/>
          <w:i/>
          <w:iCs/>
        </w:rPr>
        <w:t xml:space="preserve"> US.</w:t>
      </w:r>
      <w:r w:rsidR="0096439F" w:rsidRPr="0096439F">
        <w:rPr>
          <w:rFonts w:ascii="Times New Roman" w:hAnsi="Times New Roman" w:cs="Times New Roman"/>
          <w:i/>
          <w:iCs/>
          <w:sz w:val="20"/>
          <w:szCs w:val="20"/>
        </w:rPr>
        <w:t xml:space="preserve"> </w:t>
      </w:r>
      <w:r w:rsidR="0096439F" w:rsidRPr="00091DE5">
        <w:rPr>
          <w:rFonts w:ascii="Times New Roman" w:hAnsi="Times New Roman" w:cs="Times New Roman"/>
          <w:i/>
          <w:iCs/>
        </w:rPr>
        <w:t>Generally accepted accounting principles in the US differ in certain significant respects from accounting standards applicable in the UK</w:t>
      </w:r>
      <w:r w:rsidRPr="007D0A4A">
        <w:rPr>
          <w:rFonts w:ascii="Times New Roman" w:hAnsi="Times New Roman" w:cs="Times New Roman"/>
          <w:i/>
          <w:iCs/>
        </w:rPr>
        <w:t>.</w:t>
      </w:r>
    </w:p>
    <w:p w14:paraId="3B4594DA"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1F83370C" w14:textId="17C27748" w:rsidR="0096439F" w:rsidRPr="00913F27" w:rsidRDefault="00787FA1" w:rsidP="0096439F">
      <w:pPr>
        <w:widowControl w:val="0"/>
        <w:autoSpaceDE w:val="0"/>
        <w:autoSpaceDN w:val="0"/>
        <w:adjustRightInd w:val="0"/>
        <w:spacing w:after="0" w:line="240" w:lineRule="auto"/>
        <w:jc w:val="both"/>
        <w:rPr>
          <w:rFonts w:ascii="Times New Roman" w:hAnsi="Times New Roman" w:cs="Times New Roman"/>
          <w:i/>
          <w:iCs/>
          <w:sz w:val="20"/>
          <w:szCs w:val="20"/>
          <w:lang w:val="en-GB"/>
        </w:rPr>
      </w:pPr>
      <w:r w:rsidRPr="007D0A4A">
        <w:rPr>
          <w:rFonts w:ascii="Times New Roman" w:hAnsi="Times New Roman" w:cs="Times New Roman"/>
          <w:i/>
          <w:iCs/>
        </w:rPr>
        <w:t xml:space="preserve">If, in the future, Bidco exercises its right to implement the Acquisition by </w:t>
      </w:r>
      <w:r w:rsidR="0096439F">
        <w:rPr>
          <w:rFonts w:ascii="Times New Roman" w:hAnsi="Times New Roman" w:cs="Times New Roman"/>
          <w:i/>
          <w:iCs/>
        </w:rPr>
        <w:t>way</w:t>
      </w:r>
      <w:r w:rsidR="0096439F" w:rsidRPr="007D0A4A">
        <w:rPr>
          <w:rFonts w:ascii="Times New Roman" w:hAnsi="Times New Roman" w:cs="Times New Roman"/>
          <w:i/>
          <w:iCs/>
        </w:rPr>
        <w:t xml:space="preserve"> </w:t>
      </w:r>
      <w:r w:rsidRPr="007D0A4A">
        <w:rPr>
          <w:rFonts w:ascii="Times New Roman" w:hAnsi="Times New Roman" w:cs="Times New Roman"/>
          <w:i/>
          <w:iCs/>
        </w:rPr>
        <w:t xml:space="preserve">of a Takeover Offer </w:t>
      </w:r>
    </w:p>
    <w:p w14:paraId="776C4AAE" w14:textId="7BCFCD96" w:rsidR="00787FA1" w:rsidRPr="006C3E74" w:rsidRDefault="0096439F" w:rsidP="006C3E74">
      <w:pPr>
        <w:widowControl w:val="0"/>
        <w:autoSpaceDE w:val="0"/>
        <w:autoSpaceDN w:val="0"/>
        <w:adjustRightInd w:val="0"/>
        <w:spacing w:after="0" w:line="240" w:lineRule="auto"/>
        <w:jc w:val="both"/>
        <w:rPr>
          <w:rFonts w:ascii="Times New Roman" w:hAnsi="Times New Roman" w:cs="Times New Roman"/>
          <w:i/>
          <w:iCs/>
          <w:sz w:val="20"/>
          <w:szCs w:val="20"/>
          <w:lang w:val="en-GB"/>
        </w:rPr>
      </w:pPr>
      <w:r w:rsidRPr="00091DE5">
        <w:rPr>
          <w:rFonts w:ascii="Times New Roman" w:hAnsi="Times New Roman" w:cs="Times New Roman"/>
          <w:i/>
          <w:iCs/>
          <w:lang w:val="en-GB"/>
        </w:rPr>
        <w:t>and determines to extend the Takeover Offer into the US, the Acquisition will be made in compliance with applicable US laws and regulations, including Section 14(e) of the US Exchange Act and Regulation 14E thereunder</w:t>
      </w:r>
      <w:r w:rsidR="00787FA1" w:rsidRPr="007D0A4A">
        <w:rPr>
          <w:rFonts w:ascii="Times New Roman" w:hAnsi="Times New Roman" w:cs="Times New Roman"/>
          <w:i/>
          <w:iCs/>
        </w:rPr>
        <w:t>.</w:t>
      </w:r>
    </w:p>
    <w:p w14:paraId="53FDD51C" w14:textId="77777777" w:rsidR="0096439F" w:rsidRDefault="0096439F" w:rsidP="0096439F">
      <w:pPr>
        <w:widowControl w:val="0"/>
        <w:autoSpaceDE w:val="0"/>
        <w:autoSpaceDN w:val="0"/>
        <w:adjustRightInd w:val="0"/>
        <w:spacing w:after="0" w:line="240" w:lineRule="auto"/>
        <w:jc w:val="both"/>
        <w:rPr>
          <w:rFonts w:ascii="Times New Roman" w:hAnsi="Times New Roman" w:cs="Times New Roman"/>
          <w:i/>
          <w:iCs/>
          <w:sz w:val="20"/>
          <w:szCs w:val="20"/>
          <w:lang w:val="en-GB"/>
        </w:rPr>
      </w:pPr>
    </w:p>
    <w:p w14:paraId="18C92F8B" w14:textId="0AB4C532"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r w:rsidRPr="00091DE5">
        <w:rPr>
          <w:rFonts w:ascii="Times New Roman" w:hAnsi="Times New Roman" w:cs="Times New Roman"/>
          <w:i/>
          <w:iCs/>
          <w:lang w:val="en-GB"/>
        </w:rPr>
        <w:t>The receipt of cash pursuant to the Acquisition by US DORE Shareholders as consideration for the transfer of DORE Shares pursuant to the Scheme may be a taxable transaction for US federal income tax purposes and under applicable US state and local, as well as foreign and other, tax laws. Each DORE Shareholder (including each US DORE Shareholder) is urged to consult their own independent professional adviser immediately regarding the legal and tax consequences of the Acquisition applicable to them.</w:t>
      </w:r>
    </w:p>
    <w:p w14:paraId="7931A289" w14:textId="77777777"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p>
    <w:p w14:paraId="00356712" w14:textId="77777777"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r w:rsidRPr="00091DE5">
        <w:rPr>
          <w:rFonts w:ascii="Times New Roman" w:hAnsi="Times New Roman" w:cs="Times New Roman"/>
          <w:i/>
          <w:iCs/>
          <w:lang w:val="en-GB"/>
        </w:rPr>
        <w:t xml:space="preserve">Neither the SEC nor any US state securities commission has approved or disapproved or passed </w:t>
      </w:r>
      <w:r w:rsidRPr="00091DE5">
        <w:rPr>
          <w:rFonts w:ascii="Times New Roman" w:hAnsi="Times New Roman" w:cs="Times New Roman"/>
          <w:i/>
          <w:iCs/>
          <w:lang w:val="en-GB"/>
        </w:rPr>
        <w:lastRenderedPageBreak/>
        <w:t>judgment upon the fairness or the merits of the Acquisition or determined if this announcement is adequate, accurate or complete. Any representation to the contrary is a criminal offence in the US.</w:t>
      </w:r>
    </w:p>
    <w:p w14:paraId="1BBFD66A" w14:textId="77777777"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p>
    <w:p w14:paraId="29914ED1" w14:textId="77777777"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r w:rsidRPr="00091DE5">
        <w:rPr>
          <w:rFonts w:ascii="Times New Roman" w:hAnsi="Times New Roman" w:cs="Times New Roman"/>
          <w:i/>
          <w:iCs/>
          <w:lang w:val="en-GB"/>
        </w:rPr>
        <w:t>Each of DORE and Bidco is incorporated under the laws of England and Wales. In addition, some or all of their respective officers and directors reside outside the US, and some or all of their respective assets are or may be located in jurisdictions outside the US. Therefore, investors may have difficulty effecting service of process within the US upon those persons or recovering against DORE or Bidco or their respective officers or directors on judgments of US courts, including judgments based upon the civil liability provisions of US federal securities laws. Further, it may be difficult to compel a non-US company and its affiliates to subject themselves to a US court's judgment. It may not be possible to sue DORE or Bidco or their respective officers or directors in a non-US court for violations of US securities laws.</w:t>
      </w:r>
    </w:p>
    <w:p w14:paraId="1C969B10" w14:textId="77777777" w:rsidR="0096439F" w:rsidRPr="007D0A4A" w:rsidRDefault="0096439F" w:rsidP="00787FA1">
      <w:pPr>
        <w:widowControl w:val="0"/>
        <w:overflowPunct w:val="0"/>
        <w:autoSpaceDE w:val="0"/>
        <w:autoSpaceDN w:val="0"/>
        <w:adjustRightInd w:val="0"/>
        <w:spacing w:after="0" w:line="240" w:lineRule="auto"/>
        <w:jc w:val="both"/>
        <w:rPr>
          <w:rFonts w:ascii="Times New Roman" w:hAnsi="Times New Roman" w:cs="Times New Roman"/>
          <w:i/>
          <w:iCs/>
        </w:rPr>
      </w:pPr>
    </w:p>
    <w:p w14:paraId="3089A389" w14:textId="52B111B2" w:rsidR="00787FA1"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In accordance with normal United Kingdom practice and pursuant to Rule 14e-5(b) of the US Exchange Act</w:t>
      </w:r>
      <w:r w:rsidR="006C3E74">
        <w:rPr>
          <w:rFonts w:ascii="Times New Roman" w:hAnsi="Times New Roman" w:cs="Times New Roman"/>
          <w:i/>
          <w:iCs/>
        </w:rPr>
        <w:t>,</w:t>
      </w:r>
      <w:r w:rsidRPr="007D0A4A">
        <w:rPr>
          <w:rFonts w:ascii="Times New Roman" w:hAnsi="Times New Roman" w:cs="Times New Roman"/>
          <w:i/>
          <w:iCs/>
        </w:rPr>
        <w:t xml:space="preserve"> to the extent applicable, Bidco</w:t>
      </w:r>
      <w:r w:rsidR="0096439F">
        <w:rPr>
          <w:rFonts w:ascii="Times New Roman" w:hAnsi="Times New Roman" w:cs="Times New Roman"/>
          <w:i/>
          <w:iCs/>
        </w:rPr>
        <w:t xml:space="preserve"> or its</w:t>
      </w:r>
      <w:r w:rsidR="006C3E74">
        <w:rPr>
          <w:rFonts w:ascii="Times New Roman" w:hAnsi="Times New Roman" w:cs="Times New Roman"/>
          <w:i/>
          <w:iCs/>
        </w:rPr>
        <w:t xml:space="preserve"> </w:t>
      </w:r>
      <w:r w:rsidRPr="007D0A4A">
        <w:rPr>
          <w:rFonts w:ascii="Times New Roman" w:hAnsi="Times New Roman" w:cs="Times New Roman"/>
          <w:i/>
          <w:iCs/>
        </w:rPr>
        <w:t xml:space="preserve">nominees or brokers (acting as agents) may from time to time make certain purchases of, or arrangements to purchase, DORE Shares outside of the US, other than pursuant to the Acquisition, until the date on which the Acquisition becomes </w:t>
      </w:r>
      <w:r w:rsidR="00D97E0C">
        <w:rPr>
          <w:rFonts w:ascii="Times New Roman" w:hAnsi="Times New Roman" w:cs="Times New Roman"/>
          <w:i/>
          <w:iCs/>
        </w:rPr>
        <w:t>E</w:t>
      </w:r>
      <w:r w:rsidRPr="007D0A4A">
        <w:rPr>
          <w:rFonts w:ascii="Times New Roman" w:hAnsi="Times New Roman" w:cs="Times New Roman"/>
          <w:i/>
          <w:iCs/>
        </w:rPr>
        <w:t>ffective, lapses or is otherwise withdrawn</w:t>
      </w:r>
      <w:r w:rsidR="0096439F">
        <w:rPr>
          <w:rFonts w:ascii="Times New Roman" w:hAnsi="Times New Roman" w:cs="Times New Roman"/>
          <w:i/>
          <w:iCs/>
        </w:rPr>
        <w:t xml:space="preserve"> in compliance with applicable law, including the US Exchange Act</w:t>
      </w:r>
      <w:r w:rsidRPr="007D0A4A">
        <w:rPr>
          <w:rFonts w:ascii="Times New Roman" w:hAnsi="Times New Roman" w:cs="Times New Roman"/>
          <w:i/>
          <w:iCs/>
        </w:rPr>
        <w:t>. These purchases may occur either in the open market at prevailing prices or in private transactions at negotiated prices. Any information about such purchases or arrangements to purchase will be disclosed as required in the United Kingdom, will be reported</w:t>
      </w:r>
      <w:r w:rsidR="0096439F">
        <w:rPr>
          <w:rFonts w:ascii="Times New Roman" w:hAnsi="Times New Roman" w:cs="Times New Roman"/>
          <w:i/>
          <w:iCs/>
        </w:rPr>
        <w:t xml:space="preserve"> via</w:t>
      </w:r>
      <w:r w:rsidRPr="007D0A4A">
        <w:rPr>
          <w:rFonts w:ascii="Times New Roman" w:hAnsi="Times New Roman" w:cs="Times New Roman"/>
          <w:i/>
          <w:iCs/>
        </w:rPr>
        <w:t xml:space="preserve"> a Regulatory Information Service and will be available on the London Stock Exchange website at www.londonstockexchange.com.</w:t>
      </w:r>
    </w:p>
    <w:p w14:paraId="69E60FCF" w14:textId="77777777" w:rsidR="0096439F" w:rsidRDefault="0096439F" w:rsidP="00787FA1">
      <w:pPr>
        <w:widowControl w:val="0"/>
        <w:overflowPunct w:val="0"/>
        <w:autoSpaceDE w:val="0"/>
        <w:autoSpaceDN w:val="0"/>
        <w:adjustRightInd w:val="0"/>
        <w:spacing w:after="0" w:line="240" w:lineRule="auto"/>
        <w:jc w:val="both"/>
        <w:rPr>
          <w:rFonts w:ascii="Times New Roman" w:hAnsi="Times New Roman" w:cs="Times New Roman"/>
          <w:i/>
          <w:iCs/>
        </w:rPr>
      </w:pPr>
    </w:p>
    <w:p w14:paraId="6F573909" w14:textId="7031E420" w:rsidR="0096439F" w:rsidRPr="00091DE5" w:rsidRDefault="0096439F" w:rsidP="0096439F">
      <w:pPr>
        <w:widowControl w:val="0"/>
        <w:autoSpaceDE w:val="0"/>
        <w:autoSpaceDN w:val="0"/>
        <w:adjustRightInd w:val="0"/>
        <w:spacing w:after="0" w:line="240" w:lineRule="auto"/>
        <w:jc w:val="both"/>
        <w:rPr>
          <w:rFonts w:ascii="Times New Roman" w:hAnsi="Times New Roman" w:cs="Times New Roman"/>
          <w:i/>
          <w:iCs/>
          <w:lang w:val="en-GB"/>
        </w:rPr>
      </w:pPr>
      <w:r w:rsidRPr="00091DE5">
        <w:rPr>
          <w:rFonts w:ascii="Times New Roman" w:hAnsi="Times New Roman" w:cs="Times New Roman"/>
          <w:i/>
          <w:iCs/>
          <w:lang w:val="en-GB"/>
        </w:rPr>
        <w:t xml:space="preserve">Further details in relation to US investors in DORE </w:t>
      </w:r>
      <w:r w:rsidR="00D97E0C" w:rsidRPr="00091DE5">
        <w:rPr>
          <w:rFonts w:ascii="Times New Roman" w:hAnsi="Times New Roman" w:cs="Times New Roman"/>
          <w:i/>
          <w:iCs/>
          <w:lang w:val="en-GB"/>
        </w:rPr>
        <w:t>will be</w:t>
      </w:r>
      <w:r w:rsidRPr="00091DE5">
        <w:rPr>
          <w:rFonts w:ascii="Times New Roman" w:hAnsi="Times New Roman" w:cs="Times New Roman"/>
          <w:i/>
          <w:iCs/>
          <w:lang w:val="en-GB"/>
        </w:rPr>
        <w:t xml:space="preserve"> contained in the Scheme Document.</w:t>
      </w:r>
    </w:p>
    <w:p w14:paraId="4961FF88"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bookmarkStart w:id="1" w:name="page6"/>
      <w:bookmarkEnd w:id="1"/>
    </w:p>
    <w:p w14:paraId="6D3F3A0F"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bookmarkStart w:id="2" w:name="page7"/>
      <w:bookmarkEnd w:id="2"/>
      <w:r w:rsidRPr="007D0A4A">
        <w:rPr>
          <w:rFonts w:ascii="Times New Roman" w:hAnsi="Times New Roman" w:cs="Times New Roman"/>
          <w:b/>
          <w:bCs/>
          <w:i/>
          <w:iCs/>
        </w:rPr>
        <w:t>Disclosure requirements of the Code</w:t>
      </w:r>
    </w:p>
    <w:p w14:paraId="2DA33ED9"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6AAEC5CC" w14:textId="77777777" w:rsidR="00787FA1" w:rsidRPr="007D0A4A" w:rsidRDefault="00787FA1" w:rsidP="00787FA1">
      <w:pPr>
        <w:widowControl w:val="0"/>
        <w:overflowPunct w:val="0"/>
        <w:autoSpaceDE w:val="0"/>
        <w:autoSpaceDN w:val="0"/>
        <w:adjustRightInd w:val="0"/>
        <w:spacing w:after="0" w:line="240" w:lineRule="auto"/>
        <w:jc w:val="both"/>
        <w:rPr>
          <w:rFonts w:ascii="Times New Roman" w:hAnsi="Times New Roman" w:cs="Times New Roman"/>
          <w:i/>
          <w:iCs/>
        </w:rPr>
      </w:pPr>
      <w:r w:rsidRPr="007D0A4A">
        <w:rPr>
          <w:rFonts w:ascii="Times New Roman" w:hAnsi="Times New Roman" w:cs="Times New Roman"/>
          <w:i/>
          <w:iCs/>
        </w:rPr>
        <w:t>Under Rule 8.3(a) of the Code, any person who is interested in one per cent.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announcement in which any securities exchange offeror is first identified. An Opening Position Disclosure must contain details of the person's interests and short positions in, and rights to subscribe for, any relevant securities of each of (</w:t>
      </w:r>
      <w:proofErr w:type="spellStart"/>
      <w:r w:rsidRPr="007D0A4A">
        <w:rPr>
          <w:rFonts w:ascii="Times New Roman" w:hAnsi="Times New Roman" w:cs="Times New Roman"/>
          <w:i/>
          <w:iCs/>
        </w:rPr>
        <w:t>i</w:t>
      </w:r>
      <w:proofErr w:type="spellEnd"/>
      <w:r w:rsidRPr="007D0A4A">
        <w:rPr>
          <w:rFonts w:ascii="Times New Roman" w:hAnsi="Times New Roman" w:cs="Times New Roman"/>
          <w:i/>
          <w:iCs/>
        </w:rPr>
        <w:t>)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announcement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14:paraId="4DE72170"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36FAA8F8"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r w:rsidRPr="007D0A4A">
        <w:rPr>
          <w:rFonts w:ascii="Times New Roman" w:hAnsi="Times New Roman" w:cs="Times New Roman"/>
          <w:i/>
          <w:iCs/>
        </w:rPr>
        <w:t>Under Rule 8.3(b) of the Code, any person who is, or becomes, interested in one per cent.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w:t>
      </w:r>
      <w:proofErr w:type="spellStart"/>
      <w:r w:rsidRPr="007D0A4A">
        <w:rPr>
          <w:rFonts w:ascii="Times New Roman" w:hAnsi="Times New Roman" w:cs="Times New Roman"/>
          <w:i/>
          <w:iCs/>
        </w:rPr>
        <w:t>i</w:t>
      </w:r>
      <w:proofErr w:type="spellEnd"/>
      <w:r w:rsidRPr="007D0A4A">
        <w:rPr>
          <w:rFonts w:ascii="Times New Roman" w:hAnsi="Times New Roman" w:cs="Times New Roman"/>
          <w:i/>
          <w:iCs/>
        </w:rPr>
        <w:t>) the offeree company and (ii) any securities exchange offeror(s), save to the extent that these details have previously been disclosed under Rule 8. A Dealing Disclosure by a person to whom Rule 8.3(b) applies must be made by no later than 3.30 p.m. (London time) on the Business Day following the date of the relevant dealing.</w:t>
      </w:r>
    </w:p>
    <w:p w14:paraId="4930FF6B"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p>
    <w:p w14:paraId="77C39717"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r w:rsidRPr="007D0A4A">
        <w:rPr>
          <w:rFonts w:ascii="Times New Roman" w:hAnsi="Times New Roman" w:cs="Times New Roman"/>
          <w:i/>
          <w:iCs/>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14:paraId="25884ACA"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78A9DD8E"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r w:rsidRPr="007D0A4A">
        <w:rPr>
          <w:rFonts w:ascii="Times New Roman" w:hAnsi="Times New Roman" w:cs="Times New Roman"/>
          <w:i/>
          <w:iCs/>
        </w:rPr>
        <w:t>Opening Position Disclosures must also be made by the offeree company and by any offeror and Dealing Disclosures must also be made by the offeree company, by any offeror and by any persons acting in concert with any of them (see Rules 8.1, 8.2 and 8.4).</w:t>
      </w:r>
    </w:p>
    <w:p w14:paraId="27A576F1"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11D0B3D3"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r w:rsidRPr="007D0A4A">
        <w:rPr>
          <w:rFonts w:ascii="Times New Roman" w:hAnsi="Times New Roman" w:cs="Times New Roman"/>
          <w:i/>
          <w:iCs/>
        </w:rPr>
        <w:t>Details of the offeree and offeror companies in respect of whose relevant securities Opening Position Disclosures and Dealing Disclosures must be made can be found in the Disclosure Table on the Panel’s website at www.thetakeoverpanel.org.uk,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14:paraId="0E8F68F1"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2EB99D60" w14:textId="1A4B8274" w:rsidR="00787FA1" w:rsidRDefault="00787FA1" w:rsidP="00787FA1">
      <w:pPr>
        <w:widowControl w:val="0"/>
        <w:autoSpaceDE w:val="0"/>
        <w:autoSpaceDN w:val="0"/>
        <w:adjustRightInd w:val="0"/>
        <w:spacing w:after="0" w:line="240" w:lineRule="auto"/>
        <w:rPr>
          <w:rFonts w:ascii="Times New Roman" w:hAnsi="Times New Roman" w:cs="Times New Roman"/>
          <w:b/>
          <w:bCs/>
          <w:i/>
          <w:iCs/>
        </w:rPr>
      </w:pPr>
      <w:r w:rsidRPr="007D0A4A">
        <w:rPr>
          <w:rFonts w:ascii="Times New Roman" w:hAnsi="Times New Roman" w:cs="Times New Roman"/>
          <w:b/>
          <w:bCs/>
          <w:i/>
          <w:iCs/>
        </w:rPr>
        <w:t>Publication on website</w:t>
      </w:r>
      <w:r w:rsidR="002C57CC">
        <w:rPr>
          <w:rFonts w:ascii="Times New Roman" w:hAnsi="Times New Roman" w:cs="Times New Roman"/>
          <w:b/>
          <w:bCs/>
          <w:i/>
          <w:iCs/>
        </w:rPr>
        <w:t xml:space="preserve">s </w:t>
      </w:r>
    </w:p>
    <w:p w14:paraId="54937CB4" w14:textId="77777777" w:rsidR="002C57CC" w:rsidRDefault="002C57CC" w:rsidP="00787FA1">
      <w:pPr>
        <w:widowControl w:val="0"/>
        <w:autoSpaceDE w:val="0"/>
        <w:autoSpaceDN w:val="0"/>
        <w:adjustRightInd w:val="0"/>
        <w:spacing w:after="0" w:line="240" w:lineRule="auto"/>
        <w:rPr>
          <w:rFonts w:ascii="Times New Roman" w:hAnsi="Times New Roman" w:cs="Times New Roman"/>
          <w:b/>
          <w:bCs/>
          <w:i/>
          <w:iCs/>
        </w:rPr>
      </w:pPr>
    </w:p>
    <w:p w14:paraId="7EC5EE88" w14:textId="77777777" w:rsidR="002C57CC" w:rsidRPr="004679DE"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rPr>
      </w:pPr>
      <w:r w:rsidRPr="004679DE">
        <w:rPr>
          <w:rFonts w:ascii="Times New Roman" w:hAnsi="Times New Roman" w:cs="Times New Roman"/>
          <w:i/>
          <w:iCs/>
        </w:rPr>
        <w:t>A copy of this announcement, the Scheme Document and the documents required to be published pursuant to Rule 26 of the Code will be made available (subject to certain restrictions relating to persons resident in Restricted Jurisdictions), free of charge, on DORE's website at https://www.doretrust.com/announcement and on Bagnall's website at https://www.downing.co.uk/offer by no later than 12 noon (London time) on the first Business Day following the date of this announcement.</w:t>
      </w:r>
    </w:p>
    <w:p w14:paraId="0A5CC1E2" w14:textId="77777777" w:rsidR="002C57CC" w:rsidRPr="004679DE"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rPr>
      </w:pPr>
    </w:p>
    <w:p w14:paraId="2386B2ED" w14:textId="77777777" w:rsidR="002C57CC" w:rsidRPr="00856E8E"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sz w:val="20"/>
          <w:szCs w:val="20"/>
        </w:rPr>
      </w:pPr>
      <w:r w:rsidRPr="004679DE">
        <w:rPr>
          <w:rFonts w:ascii="Times New Roman" w:hAnsi="Times New Roman" w:cs="Times New Roman"/>
          <w:i/>
          <w:iCs/>
        </w:rPr>
        <w:t>Neither the contents of these websites nor any website accessible from hyperlinks is incorporated into or forms part of this announcement</w:t>
      </w:r>
      <w:r w:rsidRPr="00856E8E">
        <w:rPr>
          <w:rFonts w:ascii="Times New Roman" w:hAnsi="Times New Roman" w:cs="Times New Roman"/>
          <w:i/>
          <w:iCs/>
          <w:sz w:val="20"/>
          <w:szCs w:val="20"/>
        </w:rPr>
        <w:t>.</w:t>
      </w:r>
    </w:p>
    <w:p w14:paraId="018AEDF1" w14:textId="77777777" w:rsidR="002C57CC" w:rsidRPr="00856E8E"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sz w:val="20"/>
          <w:szCs w:val="20"/>
        </w:rPr>
      </w:pPr>
    </w:p>
    <w:p w14:paraId="49D6E0BC" w14:textId="77777777" w:rsidR="002C57CC" w:rsidRPr="006C1C12"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sz w:val="20"/>
          <w:szCs w:val="20"/>
        </w:rPr>
      </w:pPr>
      <w:r w:rsidRPr="006C1C12">
        <w:rPr>
          <w:rFonts w:ascii="Times New Roman" w:hAnsi="Times New Roman" w:cs="Times New Roman"/>
          <w:b/>
          <w:bCs/>
          <w:i/>
          <w:iCs/>
          <w:sz w:val="20"/>
          <w:szCs w:val="20"/>
        </w:rPr>
        <w:t>Requesting hard copy documents</w:t>
      </w:r>
    </w:p>
    <w:p w14:paraId="53787040" w14:textId="77777777" w:rsidR="002C57CC" w:rsidRPr="006C1C12" w:rsidRDefault="002C57CC" w:rsidP="002C57CC">
      <w:pPr>
        <w:widowControl w:val="0"/>
        <w:overflowPunct w:val="0"/>
        <w:autoSpaceDE w:val="0"/>
        <w:autoSpaceDN w:val="0"/>
        <w:adjustRightInd w:val="0"/>
        <w:spacing w:after="0" w:line="240" w:lineRule="auto"/>
        <w:ind w:right="20"/>
        <w:jc w:val="both"/>
        <w:rPr>
          <w:rFonts w:ascii="Times New Roman" w:hAnsi="Times New Roman" w:cs="Times New Roman"/>
          <w:i/>
          <w:iCs/>
          <w:sz w:val="20"/>
          <w:szCs w:val="20"/>
        </w:rPr>
      </w:pPr>
    </w:p>
    <w:p w14:paraId="4E773864" w14:textId="77777777" w:rsidR="002C57CC" w:rsidRPr="004679DE" w:rsidRDefault="002C57CC" w:rsidP="002C57CC">
      <w:pPr>
        <w:widowControl w:val="0"/>
        <w:autoSpaceDE w:val="0"/>
        <w:autoSpaceDN w:val="0"/>
        <w:adjustRightInd w:val="0"/>
        <w:spacing w:after="0" w:line="240" w:lineRule="auto"/>
        <w:jc w:val="both"/>
        <w:rPr>
          <w:rFonts w:ascii="Times New Roman" w:hAnsi="Times New Roman" w:cs="Times New Roman"/>
          <w:i/>
          <w:iCs/>
          <w:lang w:val="en-GB"/>
        </w:rPr>
      </w:pPr>
      <w:r w:rsidRPr="004679DE">
        <w:rPr>
          <w:rFonts w:ascii="Times New Roman" w:hAnsi="Times New Roman" w:cs="Times New Roman"/>
          <w:i/>
          <w:iCs/>
          <w:lang w:val="en-GB"/>
        </w:rPr>
        <w:t>In accordance with Rule 30.3 of the Code, DORE Shareholders and persons with information rights may request a hard copy of this announcement, free of charge, by contacting DORE's registrar, MUFG Corporate Markets (UK) Limited ("</w:t>
      </w:r>
      <w:r w:rsidRPr="004679DE">
        <w:rPr>
          <w:rFonts w:ascii="Times New Roman" w:hAnsi="Times New Roman" w:cs="Times New Roman"/>
          <w:b/>
          <w:bCs/>
          <w:i/>
          <w:iCs/>
          <w:lang w:val="en-GB"/>
        </w:rPr>
        <w:t>MUFG Corporate Markets</w:t>
      </w:r>
      <w:r w:rsidRPr="004679DE">
        <w:rPr>
          <w:rFonts w:ascii="Times New Roman" w:hAnsi="Times New Roman" w:cs="Times New Roman"/>
          <w:i/>
          <w:iCs/>
          <w:lang w:val="en-GB"/>
        </w:rPr>
        <w:t>") in accordance with the procedure set out below. DORE Shareholders and persons with information rights may also request that all future documents, announcements and information to be sent to them in relation to the Acquisition be sent in hard copy form. For persons who have received a copy of this announcement in electronic form or via a website notification, a hard copy of this announcement will not be sent to you unless you have previously notified DORE's registrar, MUFG Corporate Markets, that you wish to receive all documents in hard copy form or unless requested in accordance with the procedure set out below.</w:t>
      </w:r>
    </w:p>
    <w:p w14:paraId="4EBB38CE" w14:textId="77777777" w:rsidR="002C57CC" w:rsidRPr="004679DE" w:rsidRDefault="002C57CC" w:rsidP="002C57CC">
      <w:pPr>
        <w:widowControl w:val="0"/>
        <w:autoSpaceDE w:val="0"/>
        <w:autoSpaceDN w:val="0"/>
        <w:adjustRightInd w:val="0"/>
        <w:spacing w:after="0" w:line="240" w:lineRule="auto"/>
        <w:jc w:val="both"/>
        <w:rPr>
          <w:rFonts w:ascii="Times New Roman" w:hAnsi="Times New Roman" w:cs="Times New Roman"/>
          <w:i/>
          <w:iCs/>
          <w:lang w:val="en-GB"/>
        </w:rPr>
      </w:pPr>
    </w:p>
    <w:p w14:paraId="7F7F26ED" w14:textId="77777777" w:rsidR="002C57CC" w:rsidRDefault="002C57CC" w:rsidP="002C57CC">
      <w:pPr>
        <w:widowControl w:val="0"/>
        <w:autoSpaceDE w:val="0"/>
        <w:autoSpaceDN w:val="0"/>
        <w:adjustRightInd w:val="0"/>
        <w:spacing w:after="0" w:line="240" w:lineRule="auto"/>
        <w:jc w:val="both"/>
        <w:rPr>
          <w:rFonts w:ascii="Times New Roman" w:hAnsi="Times New Roman" w:cs="Times New Roman"/>
          <w:i/>
          <w:iCs/>
          <w:lang w:val="en-GB"/>
        </w:rPr>
      </w:pPr>
      <w:r w:rsidRPr="004679DE">
        <w:rPr>
          <w:rFonts w:ascii="Times New Roman" w:hAnsi="Times New Roman" w:cs="Times New Roman"/>
          <w:i/>
          <w:iCs/>
          <w:lang w:val="en-GB"/>
        </w:rPr>
        <w:t>If calling from within the United Kingdom, you should contact MUFG Corporate Markets on 0371 664 0300, or if calling from outside the United Kingdom, you should call +44 (0) 371 664 0300 or by submitting a request in writing by post to MUFG Corporate Markets, Central Square, 29 Wellington Street, Leeds LS1 4DL or by email to shareholderenquiries@cm.mpms.mufg.com. Calls are charged at the standard geographic rate and will vary by provider. Calls from outside the United Kingdom will be charged at the applicable international rate. Lines are open between 09:00 -17:30, Monday to Friday excluding public holidays in England and Wales.</w:t>
      </w:r>
    </w:p>
    <w:p w14:paraId="2DBF4C11" w14:textId="77777777" w:rsidR="004679DE" w:rsidRDefault="004679DE" w:rsidP="002C57CC">
      <w:pPr>
        <w:widowControl w:val="0"/>
        <w:autoSpaceDE w:val="0"/>
        <w:autoSpaceDN w:val="0"/>
        <w:adjustRightInd w:val="0"/>
        <w:spacing w:after="0" w:line="240" w:lineRule="auto"/>
        <w:jc w:val="both"/>
        <w:rPr>
          <w:rFonts w:ascii="Times New Roman" w:hAnsi="Times New Roman" w:cs="Times New Roman"/>
          <w:i/>
          <w:iCs/>
          <w:lang w:val="en-GB"/>
        </w:rPr>
      </w:pPr>
    </w:p>
    <w:p w14:paraId="2F12D44B" w14:textId="77777777" w:rsidR="004679DE" w:rsidRDefault="004679DE" w:rsidP="004679DE">
      <w:pPr>
        <w:widowControl w:val="0"/>
        <w:autoSpaceDE w:val="0"/>
        <w:autoSpaceDN w:val="0"/>
        <w:adjustRightInd w:val="0"/>
        <w:spacing w:after="0" w:line="240" w:lineRule="auto"/>
        <w:jc w:val="both"/>
        <w:rPr>
          <w:rFonts w:ascii="Times New Roman" w:hAnsi="Times New Roman" w:cs="Times New Roman"/>
          <w:b/>
          <w:bCs/>
          <w:i/>
          <w:iCs/>
          <w:sz w:val="20"/>
          <w:szCs w:val="20"/>
          <w:lang w:val="en-GB"/>
        </w:rPr>
      </w:pPr>
      <w:r w:rsidRPr="00C242D4">
        <w:rPr>
          <w:rFonts w:ascii="Times New Roman" w:hAnsi="Times New Roman" w:cs="Times New Roman"/>
          <w:b/>
          <w:bCs/>
          <w:i/>
          <w:iCs/>
          <w:sz w:val="20"/>
          <w:szCs w:val="20"/>
          <w:lang w:val="en-GB"/>
        </w:rPr>
        <w:t>Rounding</w:t>
      </w:r>
    </w:p>
    <w:p w14:paraId="00671DF0" w14:textId="77777777" w:rsidR="004679DE" w:rsidRPr="00C242D4" w:rsidRDefault="004679DE" w:rsidP="004679DE">
      <w:pPr>
        <w:widowControl w:val="0"/>
        <w:autoSpaceDE w:val="0"/>
        <w:autoSpaceDN w:val="0"/>
        <w:adjustRightInd w:val="0"/>
        <w:spacing w:after="0" w:line="240" w:lineRule="auto"/>
        <w:jc w:val="both"/>
        <w:rPr>
          <w:rFonts w:ascii="Times New Roman" w:hAnsi="Times New Roman" w:cs="Times New Roman"/>
          <w:i/>
          <w:iCs/>
          <w:sz w:val="20"/>
          <w:szCs w:val="20"/>
          <w:lang w:val="en-GB"/>
        </w:rPr>
      </w:pPr>
    </w:p>
    <w:p w14:paraId="0EF427C1" w14:textId="77777777" w:rsidR="004679DE" w:rsidRPr="00C242D4" w:rsidRDefault="004679DE" w:rsidP="004679DE">
      <w:pPr>
        <w:widowControl w:val="0"/>
        <w:autoSpaceDE w:val="0"/>
        <w:autoSpaceDN w:val="0"/>
        <w:adjustRightInd w:val="0"/>
        <w:spacing w:after="0" w:line="240" w:lineRule="auto"/>
        <w:jc w:val="both"/>
        <w:rPr>
          <w:rFonts w:ascii="Times New Roman" w:hAnsi="Times New Roman" w:cs="Times New Roman"/>
          <w:i/>
          <w:iCs/>
          <w:sz w:val="20"/>
          <w:szCs w:val="20"/>
          <w:lang w:val="en-GB"/>
        </w:rPr>
      </w:pPr>
      <w:r w:rsidRPr="00C242D4">
        <w:rPr>
          <w:rFonts w:ascii="Times New Roman" w:hAnsi="Times New Roman" w:cs="Times New Roman"/>
          <w:i/>
          <w:iCs/>
          <w:sz w:val="20"/>
          <w:szCs w:val="20"/>
          <w:lang w:val="en-GB"/>
        </w:rPr>
        <w:t>Certain figures included in this announcement</w:t>
      </w:r>
      <w:r>
        <w:rPr>
          <w:rFonts w:ascii="Times New Roman" w:hAnsi="Times New Roman" w:cs="Times New Roman"/>
          <w:i/>
          <w:iCs/>
          <w:sz w:val="20"/>
          <w:szCs w:val="20"/>
          <w:lang w:val="en-GB"/>
        </w:rPr>
        <w:t xml:space="preserve"> and the Scheme Document</w:t>
      </w:r>
      <w:r w:rsidRPr="00C242D4">
        <w:rPr>
          <w:rFonts w:ascii="Times New Roman" w:hAnsi="Times New Roman" w:cs="Times New Roman"/>
          <w:i/>
          <w:iCs/>
          <w:sz w:val="20"/>
          <w:szCs w:val="20"/>
          <w:lang w:val="en-GB"/>
        </w:rPr>
        <w:t xml:space="preserve"> have been subjected to rounding adjustments. Accordingly, figures shown for the same category presented in different tables may vary slightly and figures shown as totals in certain tables may not be an arithmetic aggregation of the figures that precede them.</w:t>
      </w:r>
    </w:p>
    <w:p w14:paraId="1D219A12" w14:textId="77777777" w:rsidR="002C57CC" w:rsidRPr="007D0A4A" w:rsidRDefault="002C57CC" w:rsidP="00787FA1">
      <w:pPr>
        <w:widowControl w:val="0"/>
        <w:autoSpaceDE w:val="0"/>
        <w:autoSpaceDN w:val="0"/>
        <w:adjustRightInd w:val="0"/>
        <w:spacing w:after="0" w:line="240" w:lineRule="auto"/>
        <w:rPr>
          <w:rFonts w:ascii="Times New Roman" w:hAnsi="Times New Roman" w:cs="Times New Roman"/>
          <w:i/>
          <w:iCs/>
        </w:rPr>
      </w:pPr>
    </w:p>
    <w:p w14:paraId="21D72BB7" w14:textId="77777777" w:rsidR="00787FA1" w:rsidRPr="007D0A4A" w:rsidRDefault="00787FA1" w:rsidP="00787FA1">
      <w:pPr>
        <w:widowControl w:val="0"/>
        <w:autoSpaceDE w:val="0"/>
        <w:autoSpaceDN w:val="0"/>
        <w:adjustRightInd w:val="0"/>
        <w:spacing w:after="0" w:line="240" w:lineRule="auto"/>
        <w:rPr>
          <w:rFonts w:ascii="Times New Roman" w:hAnsi="Times New Roman" w:cs="Times New Roman"/>
          <w:i/>
          <w:iCs/>
        </w:rPr>
      </w:pPr>
    </w:p>
    <w:p w14:paraId="1C7CED23" w14:textId="77777777" w:rsidR="00787FA1" w:rsidRPr="007D0A4A" w:rsidRDefault="00787FA1" w:rsidP="00787FA1">
      <w:pPr>
        <w:widowControl w:val="0"/>
        <w:overflowPunct w:val="0"/>
        <w:autoSpaceDE w:val="0"/>
        <w:autoSpaceDN w:val="0"/>
        <w:adjustRightInd w:val="0"/>
        <w:spacing w:after="0" w:line="240" w:lineRule="auto"/>
        <w:ind w:right="20"/>
        <w:jc w:val="both"/>
        <w:rPr>
          <w:rFonts w:ascii="Times New Roman" w:hAnsi="Times New Roman" w:cs="Times New Roman"/>
          <w:i/>
          <w:iCs/>
        </w:rPr>
      </w:pPr>
    </w:p>
    <w:p w14:paraId="32AC3911" w14:textId="77777777" w:rsidR="00C4573F" w:rsidRPr="007D0A4A" w:rsidRDefault="00C4573F" w:rsidP="00787FA1">
      <w:pPr>
        <w:rPr>
          <w:rFonts w:ascii="Times New Roman" w:hAnsi="Times New Roman" w:cs="Times New Roman"/>
          <w:i/>
          <w:iCs/>
        </w:rPr>
      </w:pPr>
      <w:bookmarkStart w:id="3" w:name="page9"/>
      <w:bookmarkEnd w:id="3"/>
    </w:p>
    <w:sectPr w:rsidR="00C4573F" w:rsidRPr="007D0A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042E5" w14:textId="77777777" w:rsidR="00320164" w:rsidRDefault="00320164" w:rsidP="00320164">
      <w:pPr>
        <w:spacing w:after="0" w:line="240" w:lineRule="auto"/>
      </w:pPr>
      <w:r>
        <w:separator/>
      </w:r>
    </w:p>
  </w:endnote>
  <w:endnote w:type="continuationSeparator" w:id="0">
    <w:p w14:paraId="24199728" w14:textId="77777777" w:rsidR="00320164" w:rsidRDefault="00320164" w:rsidP="0032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EC00" w14:textId="77777777" w:rsidR="00320164" w:rsidRDefault="00320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9269" w14:textId="77777777" w:rsidR="00320164" w:rsidRDefault="00320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2592" w14:textId="77777777" w:rsidR="00320164" w:rsidRDefault="00320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325C" w14:textId="77777777" w:rsidR="00320164" w:rsidRDefault="00320164" w:rsidP="00320164">
      <w:pPr>
        <w:spacing w:after="0" w:line="240" w:lineRule="auto"/>
      </w:pPr>
      <w:r>
        <w:separator/>
      </w:r>
    </w:p>
  </w:footnote>
  <w:footnote w:type="continuationSeparator" w:id="0">
    <w:p w14:paraId="21C323AE" w14:textId="77777777" w:rsidR="00320164" w:rsidRDefault="00320164" w:rsidP="00320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CC8A" w14:textId="77777777" w:rsidR="00320164" w:rsidRDefault="00320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DDAD" w14:textId="77777777" w:rsidR="00320164" w:rsidRDefault="00320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A4D7" w14:textId="77777777" w:rsidR="00320164" w:rsidRDefault="00320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24"/>
    <w:multiLevelType w:val="hybridMultilevel"/>
    <w:tmpl w:val="0000305E"/>
    <w:lvl w:ilvl="0" w:tplc="0000440D">
      <w:start w:val="1"/>
      <w:numFmt w:val="bullet"/>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47"/>
    <w:multiLevelType w:val="hybridMultilevel"/>
    <w:tmpl w:val="000054DE"/>
    <w:lvl w:ilvl="0" w:tplc="000039B3">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D12"/>
    <w:multiLevelType w:val="hybridMultilevel"/>
    <w:tmpl w:val="0000074D"/>
    <w:lvl w:ilvl="0" w:tplc="00004DC8">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91C"/>
    <w:multiLevelType w:val="hybridMultilevel"/>
    <w:tmpl w:val="B19ACEC8"/>
    <w:lvl w:ilvl="0" w:tplc="814A8E8A">
      <w:start w:val="1"/>
      <w:numFmt w:val="bullet"/>
      <w:lvlText w:val="2"/>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443"/>
    <w:multiLevelType w:val="hybridMultilevel"/>
    <w:tmpl w:val="000066BB"/>
    <w:lvl w:ilvl="0" w:tplc="0000428B">
      <w:start w:val="1"/>
      <w:numFmt w:val="bullet"/>
      <w:lvlText w:val="6"/>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E72D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BFB3AA0"/>
    <w:multiLevelType w:val="hybridMultilevel"/>
    <w:tmpl w:val="966AD1B6"/>
    <w:lvl w:ilvl="0" w:tplc="F1585494">
      <w:start w:val="1"/>
      <w:numFmt w:val="decimal"/>
      <w:lvlText w:val="%1."/>
      <w:lvlJc w:val="left"/>
      <w:pPr>
        <w:ind w:left="795" w:hanging="435"/>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07156"/>
    <w:multiLevelType w:val="hybridMultilevel"/>
    <w:tmpl w:val="CC60FB92"/>
    <w:lvl w:ilvl="0" w:tplc="A558D3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9" w15:restartNumberingAfterBreak="0">
    <w:nsid w:val="63D66448"/>
    <w:multiLevelType w:val="hybridMultilevel"/>
    <w:tmpl w:val="DD4A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464B5D"/>
    <w:multiLevelType w:val="hybridMultilevel"/>
    <w:tmpl w:val="DDC0C07E"/>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778C02E2"/>
    <w:multiLevelType w:val="hybridMultilevel"/>
    <w:tmpl w:val="978C69C2"/>
    <w:lvl w:ilvl="0" w:tplc="9140DB0E">
      <w:start w:val="1"/>
      <w:numFmt w:val="decimal"/>
      <w:lvlText w:val="%1."/>
      <w:lvlJc w:val="left"/>
      <w:pPr>
        <w:ind w:left="795" w:hanging="435"/>
      </w:pPr>
      <w:rPr>
        <w:rFonts w:ascii="Arial" w:hAnsi="Arial" w:cs="Arial"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632674">
    <w:abstractNumId w:val="7"/>
  </w:num>
  <w:num w:numId="2" w16cid:durableId="1827357636">
    <w:abstractNumId w:val="10"/>
  </w:num>
  <w:num w:numId="3" w16cid:durableId="1426153392">
    <w:abstractNumId w:val="6"/>
  </w:num>
  <w:num w:numId="4" w16cid:durableId="1034502044">
    <w:abstractNumId w:val="11"/>
  </w:num>
  <w:num w:numId="5" w16cid:durableId="1983148194">
    <w:abstractNumId w:val="8"/>
  </w:num>
  <w:num w:numId="6" w16cid:durableId="109588112">
    <w:abstractNumId w:val="0"/>
  </w:num>
  <w:num w:numId="7" w16cid:durableId="2017805272">
    <w:abstractNumId w:val="3"/>
  </w:num>
  <w:num w:numId="8" w16cid:durableId="1296331737">
    <w:abstractNumId w:val="1"/>
  </w:num>
  <w:num w:numId="9" w16cid:durableId="1169367451">
    <w:abstractNumId w:val="2"/>
  </w:num>
  <w:num w:numId="10" w16cid:durableId="136145209">
    <w:abstractNumId w:val="4"/>
  </w:num>
  <w:num w:numId="11" w16cid:durableId="1149706511">
    <w:abstractNumId w:val="9"/>
  </w:num>
  <w:num w:numId="12" w16cid:durableId="1459447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562839"/>
    <w:rsid w:val="00000851"/>
    <w:rsid w:val="00091DE5"/>
    <w:rsid w:val="0009320D"/>
    <w:rsid w:val="00097144"/>
    <w:rsid w:val="000E101D"/>
    <w:rsid w:val="00111332"/>
    <w:rsid w:val="0018548C"/>
    <w:rsid w:val="001D0914"/>
    <w:rsid w:val="001F2CB5"/>
    <w:rsid w:val="00220FF2"/>
    <w:rsid w:val="00267BF7"/>
    <w:rsid w:val="00274545"/>
    <w:rsid w:val="0028534F"/>
    <w:rsid w:val="002866C8"/>
    <w:rsid w:val="002A1DD2"/>
    <w:rsid w:val="002C57CC"/>
    <w:rsid w:val="00310031"/>
    <w:rsid w:val="003140EA"/>
    <w:rsid w:val="00320164"/>
    <w:rsid w:val="003B793A"/>
    <w:rsid w:val="003D3AC2"/>
    <w:rsid w:val="0040057B"/>
    <w:rsid w:val="00426D3C"/>
    <w:rsid w:val="004679DE"/>
    <w:rsid w:val="004E3459"/>
    <w:rsid w:val="004F0885"/>
    <w:rsid w:val="005153EB"/>
    <w:rsid w:val="00533142"/>
    <w:rsid w:val="00562839"/>
    <w:rsid w:val="0057349F"/>
    <w:rsid w:val="005C57C2"/>
    <w:rsid w:val="005E2756"/>
    <w:rsid w:val="00601B1F"/>
    <w:rsid w:val="00621AC5"/>
    <w:rsid w:val="00672E76"/>
    <w:rsid w:val="00675A6D"/>
    <w:rsid w:val="006B4CE6"/>
    <w:rsid w:val="006B76DF"/>
    <w:rsid w:val="006C17BB"/>
    <w:rsid w:val="006C3E74"/>
    <w:rsid w:val="006D1D41"/>
    <w:rsid w:val="0077528F"/>
    <w:rsid w:val="007835B4"/>
    <w:rsid w:val="00787FA1"/>
    <w:rsid w:val="007A1534"/>
    <w:rsid w:val="007D0A4A"/>
    <w:rsid w:val="00801BF6"/>
    <w:rsid w:val="0080257C"/>
    <w:rsid w:val="008465A6"/>
    <w:rsid w:val="00856E8E"/>
    <w:rsid w:val="008613C5"/>
    <w:rsid w:val="008635DF"/>
    <w:rsid w:val="008B052C"/>
    <w:rsid w:val="008C1B05"/>
    <w:rsid w:val="008D15F4"/>
    <w:rsid w:val="008E505B"/>
    <w:rsid w:val="00941CA4"/>
    <w:rsid w:val="0096439F"/>
    <w:rsid w:val="00976F08"/>
    <w:rsid w:val="00987D97"/>
    <w:rsid w:val="0099548E"/>
    <w:rsid w:val="009B7E1D"/>
    <w:rsid w:val="009D062A"/>
    <w:rsid w:val="00A07622"/>
    <w:rsid w:val="00A943AB"/>
    <w:rsid w:val="00AC5994"/>
    <w:rsid w:val="00AF3076"/>
    <w:rsid w:val="00B66CD1"/>
    <w:rsid w:val="00B7771A"/>
    <w:rsid w:val="00B86485"/>
    <w:rsid w:val="00BB417E"/>
    <w:rsid w:val="00BC4ECD"/>
    <w:rsid w:val="00BD747C"/>
    <w:rsid w:val="00C33EED"/>
    <w:rsid w:val="00C41B3C"/>
    <w:rsid w:val="00C4573F"/>
    <w:rsid w:val="00CC7C07"/>
    <w:rsid w:val="00D2099E"/>
    <w:rsid w:val="00D41C48"/>
    <w:rsid w:val="00D76BB4"/>
    <w:rsid w:val="00D8706F"/>
    <w:rsid w:val="00D90B1B"/>
    <w:rsid w:val="00D97E0C"/>
    <w:rsid w:val="00DA03A6"/>
    <w:rsid w:val="00E333E6"/>
    <w:rsid w:val="00E45EF7"/>
    <w:rsid w:val="00E62876"/>
    <w:rsid w:val="00E64775"/>
    <w:rsid w:val="00ED0277"/>
    <w:rsid w:val="00F00A58"/>
    <w:rsid w:val="00F01708"/>
    <w:rsid w:val="00F2542F"/>
    <w:rsid w:val="00F278DC"/>
    <w:rsid w:val="00F53EE9"/>
    <w:rsid w:val="00FB3C91"/>
    <w:rsid w:val="00FD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A4AB"/>
  <w15:chartTrackingRefBased/>
  <w15:docId w15:val="{1C9E8F4B-4113-4AD1-9F48-C97E8238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9"/>
    <w:rPr>
      <w:rFonts w:eastAsiaTheme="minorEastAsia"/>
      <w:kern w:val="0"/>
      <w:lang w:val="en-IN" w:eastAsia="en-IN"/>
      <w14:ligatures w14:val="none"/>
    </w:rPr>
  </w:style>
  <w:style w:type="paragraph" w:styleId="Heading1">
    <w:name w:val="heading 1"/>
    <w:basedOn w:val="Normal"/>
    <w:next w:val="Normal"/>
    <w:link w:val="Heading1Char"/>
    <w:uiPriority w:val="9"/>
    <w:qFormat/>
    <w:rsid w:val="003B793A"/>
    <w:pPr>
      <w:keepNext/>
      <w:keepLines/>
      <w:spacing w:before="240" w:after="0"/>
      <w:outlineLvl w:val="0"/>
    </w:pPr>
    <w:rPr>
      <w:rFonts w:asciiTheme="majorHAnsi" w:eastAsiaTheme="majorEastAsia" w:hAnsiTheme="majorHAnsi" w:cstheme="majorBidi"/>
      <w:color w:val="2ED66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3A"/>
    <w:rPr>
      <w:rFonts w:asciiTheme="majorHAnsi" w:eastAsiaTheme="majorEastAsia" w:hAnsiTheme="majorHAnsi" w:cstheme="majorBidi"/>
      <w:color w:val="2ED668" w:themeColor="accent1" w:themeShade="BF"/>
      <w:sz w:val="32"/>
      <w:szCs w:val="32"/>
    </w:rPr>
  </w:style>
  <w:style w:type="paragraph" w:customStyle="1" w:styleId="rf">
    <w:name w:val="rf"/>
    <w:basedOn w:val="Normal"/>
    <w:rsid w:val="00562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g">
    <w:name w:val="rg"/>
    <w:basedOn w:val="Normal"/>
    <w:rsid w:val="00562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h">
    <w:name w:val="rh"/>
    <w:basedOn w:val="Normal"/>
    <w:rsid w:val="00562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i">
    <w:name w:val="ri"/>
    <w:basedOn w:val="Normal"/>
    <w:rsid w:val="00562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j">
    <w:name w:val="rj"/>
    <w:basedOn w:val="Normal"/>
    <w:rsid w:val="005628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A1534"/>
    <w:rPr>
      <w:color w:val="14CA5E" w:themeColor="hyperlink"/>
      <w:u w:val="single"/>
    </w:rPr>
  </w:style>
  <w:style w:type="character" w:styleId="UnresolvedMention">
    <w:name w:val="Unresolved Mention"/>
    <w:basedOn w:val="DefaultParagraphFont"/>
    <w:uiPriority w:val="99"/>
    <w:semiHidden/>
    <w:unhideWhenUsed/>
    <w:rsid w:val="007A1534"/>
    <w:rPr>
      <w:color w:val="605E5C"/>
      <w:shd w:val="clear" w:color="auto" w:fill="E1DFDD"/>
    </w:rPr>
  </w:style>
  <w:style w:type="paragraph" w:styleId="ListParagraph">
    <w:name w:val="List Paragraph"/>
    <w:basedOn w:val="Normal"/>
    <w:uiPriority w:val="34"/>
    <w:qFormat/>
    <w:rsid w:val="00DA03A6"/>
    <w:pPr>
      <w:ind w:left="720"/>
      <w:contextualSpacing/>
    </w:pPr>
  </w:style>
  <w:style w:type="paragraph" w:customStyle="1" w:styleId="AONormal">
    <w:name w:val="AONormal"/>
    <w:rsid w:val="00A943AB"/>
    <w:pPr>
      <w:spacing w:after="0" w:line="260" w:lineRule="atLeast"/>
    </w:pPr>
    <w:rPr>
      <w:rFonts w:ascii="Times New Roman" w:hAnsi="Times New Roman" w:cs="Times New Roman"/>
      <w:kern w:val="0"/>
      <w14:ligatures w14:val="none"/>
    </w:rPr>
  </w:style>
  <w:style w:type="paragraph" w:customStyle="1" w:styleId="AODocTxt">
    <w:name w:val="AODocTxt"/>
    <w:basedOn w:val="Normal"/>
    <w:rsid w:val="00A943AB"/>
    <w:pPr>
      <w:spacing w:before="240" w:after="0" w:line="260" w:lineRule="atLeast"/>
      <w:jc w:val="both"/>
    </w:pPr>
    <w:rPr>
      <w:rFonts w:ascii="Times New Roman" w:eastAsiaTheme="minorHAnsi" w:hAnsi="Times New Roman" w:cs="Times New Roman"/>
      <w:lang w:val="en-GB" w:eastAsia="en-US"/>
    </w:rPr>
  </w:style>
  <w:style w:type="paragraph" w:customStyle="1" w:styleId="AOA">
    <w:name w:val="AO(A)"/>
    <w:basedOn w:val="Normal"/>
    <w:next w:val="AODocTxt"/>
    <w:rsid w:val="00A943AB"/>
    <w:pPr>
      <w:numPr>
        <w:numId w:val="5"/>
      </w:numPr>
      <w:spacing w:before="240" w:after="0" w:line="260" w:lineRule="atLeast"/>
      <w:jc w:val="both"/>
    </w:pPr>
    <w:rPr>
      <w:rFonts w:ascii="Times New Roman" w:eastAsiaTheme="minorHAnsi" w:hAnsi="Times New Roman" w:cs="Times New Roman"/>
      <w:lang w:val="en-GB" w:eastAsia="en-US"/>
    </w:rPr>
  </w:style>
  <w:style w:type="paragraph" w:styleId="NoSpacing">
    <w:name w:val="No Spacing"/>
    <w:link w:val="NoSpacingChar"/>
    <w:uiPriority w:val="1"/>
    <w:qFormat/>
    <w:rsid w:val="00A943AB"/>
    <w:pPr>
      <w:spacing w:after="0" w:line="240" w:lineRule="auto"/>
    </w:pPr>
    <w:rPr>
      <w:rFonts w:ascii="Times New Roman" w:hAnsi="Times New Roman" w:cs="Times New Roman"/>
      <w:kern w:val="0"/>
      <w14:ligatures w14:val="none"/>
    </w:rPr>
  </w:style>
  <w:style w:type="character" w:customStyle="1" w:styleId="NoSpacingChar">
    <w:name w:val="No Spacing Char"/>
    <w:basedOn w:val="DefaultParagraphFont"/>
    <w:link w:val="NoSpacing"/>
    <w:uiPriority w:val="1"/>
    <w:rsid w:val="00A943AB"/>
    <w:rPr>
      <w:rFonts w:ascii="Times New Roman" w:hAnsi="Times New Roman" w:cs="Times New Roman"/>
      <w:kern w:val="0"/>
      <w14:ligatures w14:val="none"/>
    </w:rPr>
  </w:style>
  <w:style w:type="paragraph" w:styleId="Revision">
    <w:name w:val="Revision"/>
    <w:hidden/>
    <w:uiPriority w:val="99"/>
    <w:semiHidden/>
    <w:rsid w:val="00A07622"/>
    <w:pPr>
      <w:spacing w:after="0" w:line="240" w:lineRule="auto"/>
    </w:pPr>
    <w:rPr>
      <w:rFonts w:eastAsiaTheme="minorEastAsia"/>
      <w:kern w:val="0"/>
      <w:lang w:val="en-IN" w:eastAsia="en-IN"/>
      <w14:ligatures w14:val="none"/>
    </w:rPr>
  </w:style>
  <w:style w:type="character" w:styleId="CommentReference">
    <w:name w:val="annotation reference"/>
    <w:basedOn w:val="DefaultParagraphFont"/>
    <w:uiPriority w:val="99"/>
    <w:semiHidden/>
    <w:unhideWhenUsed/>
    <w:rsid w:val="00E45EF7"/>
    <w:rPr>
      <w:sz w:val="16"/>
      <w:szCs w:val="16"/>
    </w:rPr>
  </w:style>
  <w:style w:type="paragraph" w:styleId="CommentText">
    <w:name w:val="annotation text"/>
    <w:basedOn w:val="Normal"/>
    <w:link w:val="CommentTextChar"/>
    <w:uiPriority w:val="99"/>
    <w:unhideWhenUsed/>
    <w:rsid w:val="00E45EF7"/>
    <w:pPr>
      <w:spacing w:line="240" w:lineRule="auto"/>
    </w:pPr>
    <w:rPr>
      <w:sz w:val="20"/>
      <w:szCs w:val="20"/>
    </w:rPr>
  </w:style>
  <w:style w:type="character" w:customStyle="1" w:styleId="CommentTextChar">
    <w:name w:val="Comment Text Char"/>
    <w:basedOn w:val="DefaultParagraphFont"/>
    <w:link w:val="CommentText"/>
    <w:uiPriority w:val="99"/>
    <w:rsid w:val="00E45EF7"/>
    <w:rPr>
      <w:rFonts w:eastAsiaTheme="minorEastAsia"/>
      <w:kern w:val="0"/>
      <w:sz w:val="20"/>
      <w:szCs w:val="20"/>
      <w:lang w:val="en-IN" w:eastAsia="en-IN"/>
      <w14:ligatures w14:val="none"/>
    </w:rPr>
  </w:style>
  <w:style w:type="paragraph" w:styleId="CommentSubject">
    <w:name w:val="annotation subject"/>
    <w:basedOn w:val="CommentText"/>
    <w:next w:val="CommentText"/>
    <w:link w:val="CommentSubjectChar"/>
    <w:uiPriority w:val="99"/>
    <w:semiHidden/>
    <w:unhideWhenUsed/>
    <w:rsid w:val="00E45EF7"/>
    <w:rPr>
      <w:b/>
      <w:bCs/>
    </w:rPr>
  </w:style>
  <w:style w:type="character" w:customStyle="1" w:styleId="CommentSubjectChar">
    <w:name w:val="Comment Subject Char"/>
    <w:basedOn w:val="CommentTextChar"/>
    <w:link w:val="CommentSubject"/>
    <w:uiPriority w:val="99"/>
    <w:semiHidden/>
    <w:rsid w:val="00E45EF7"/>
    <w:rPr>
      <w:rFonts w:eastAsiaTheme="minorEastAsia"/>
      <w:b/>
      <w:bCs/>
      <w:kern w:val="0"/>
      <w:sz w:val="20"/>
      <w:szCs w:val="20"/>
      <w:lang w:val="en-IN" w:eastAsia="en-IN"/>
      <w14:ligatures w14:val="none"/>
    </w:rPr>
  </w:style>
  <w:style w:type="paragraph" w:customStyle="1" w:styleId="BodyText1">
    <w:name w:val="Body Text 1"/>
    <w:basedOn w:val="Normal"/>
    <w:link w:val="BodyText1Char"/>
    <w:qFormat/>
    <w:rsid w:val="00856E8E"/>
    <w:pPr>
      <w:spacing w:after="240" w:line="240" w:lineRule="auto"/>
      <w:ind w:left="720"/>
      <w:jc w:val="both"/>
    </w:pPr>
    <w:rPr>
      <w:rFonts w:ascii="Times New Roman" w:eastAsia="SimSun" w:hAnsi="Times New Roman" w:cs="Simplified Arabic"/>
      <w:sz w:val="24"/>
      <w:szCs w:val="24"/>
      <w:lang w:val="en-GB" w:eastAsia="en-GB"/>
    </w:rPr>
  </w:style>
  <w:style w:type="character" w:customStyle="1" w:styleId="BodyText1Char">
    <w:name w:val="Body Text 1 Char"/>
    <w:basedOn w:val="DefaultParagraphFont"/>
    <w:link w:val="BodyText1"/>
    <w:rsid w:val="00856E8E"/>
    <w:rPr>
      <w:rFonts w:ascii="Times New Roman" w:eastAsia="SimSun" w:hAnsi="Times New Roman" w:cs="Simplified Arabic"/>
      <w:kern w:val="0"/>
      <w:sz w:val="24"/>
      <w:szCs w:val="24"/>
      <w:lang w:eastAsia="en-GB"/>
      <w14:ligatures w14:val="none"/>
    </w:rPr>
  </w:style>
  <w:style w:type="paragraph" w:styleId="Header">
    <w:name w:val="header"/>
    <w:basedOn w:val="Normal"/>
    <w:link w:val="HeaderChar"/>
    <w:uiPriority w:val="99"/>
    <w:unhideWhenUsed/>
    <w:rsid w:val="00320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64"/>
    <w:rPr>
      <w:rFonts w:eastAsiaTheme="minorEastAsia"/>
      <w:kern w:val="0"/>
      <w:lang w:val="en-IN" w:eastAsia="en-IN"/>
      <w14:ligatures w14:val="none"/>
    </w:rPr>
  </w:style>
  <w:style w:type="paragraph" w:styleId="Footer">
    <w:name w:val="footer"/>
    <w:basedOn w:val="Normal"/>
    <w:link w:val="FooterChar"/>
    <w:uiPriority w:val="99"/>
    <w:unhideWhenUsed/>
    <w:rsid w:val="00320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64"/>
    <w:rPr>
      <w:rFonts w:eastAsiaTheme="minorEastAsia"/>
      <w:kern w:val="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2294">
      <w:bodyDiv w:val="1"/>
      <w:marLeft w:val="0"/>
      <w:marRight w:val="0"/>
      <w:marTop w:val="0"/>
      <w:marBottom w:val="0"/>
      <w:divBdr>
        <w:top w:val="none" w:sz="0" w:space="0" w:color="auto"/>
        <w:left w:val="none" w:sz="0" w:space="0" w:color="auto"/>
        <w:bottom w:val="none" w:sz="0" w:space="0" w:color="auto"/>
        <w:right w:val="none" w:sz="0" w:space="0" w:color="auto"/>
      </w:divBdr>
    </w:div>
    <w:div w:id="369841582">
      <w:bodyDiv w:val="1"/>
      <w:marLeft w:val="0"/>
      <w:marRight w:val="0"/>
      <w:marTop w:val="0"/>
      <w:marBottom w:val="0"/>
      <w:divBdr>
        <w:top w:val="none" w:sz="0" w:space="0" w:color="auto"/>
        <w:left w:val="none" w:sz="0" w:space="0" w:color="auto"/>
        <w:bottom w:val="none" w:sz="0" w:space="0" w:color="auto"/>
        <w:right w:val="none" w:sz="0" w:space="0" w:color="auto"/>
      </w:divBdr>
    </w:div>
    <w:div w:id="521362692">
      <w:bodyDiv w:val="1"/>
      <w:marLeft w:val="0"/>
      <w:marRight w:val="0"/>
      <w:marTop w:val="0"/>
      <w:marBottom w:val="0"/>
      <w:divBdr>
        <w:top w:val="none" w:sz="0" w:space="0" w:color="auto"/>
        <w:left w:val="none" w:sz="0" w:space="0" w:color="auto"/>
        <w:bottom w:val="none" w:sz="0" w:space="0" w:color="auto"/>
        <w:right w:val="none" w:sz="0" w:space="0" w:color="auto"/>
      </w:divBdr>
    </w:div>
    <w:div w:id="804393365">
      <w:bodyDiv w:val="1"/>
      <w:marLeft w:val="0"/>
      <w:marRight w:val="0"/>
      <w:marTop w:val="0"/>
      <w:marBottom w:val="0"/>
      <w:divBdr>
        <w:top w:val="none" w:sz="0" w:space="0" w:color="auto"/>
        <w:left w:val="none" w:sz="0" w:space="0" w:color="auto"/>
        <w:bottom w:val="none" w:sz="0" w:space="0" w:color="auto"/>
        <w:right w:val="none" w:sz="0" w:space="0" w:color="auto"/>
      </w:divBdr>
    </w:div>
    <w:div w:id="809128995">
      <w:bodyDiv w:val="1"/>
      <w:marLeft w:val="0"/>
      <w:marRight w:val="0"/>
      <w:marTop w:val="0"/>
      <w:marBottom w:val="0"/>
      <w:divBdr>
        <w:top w:val="none" w:sz="0" w:space="0" w:color="auto"/>
        <w:left w:val="none" w:sz="0" w:space="0" w:color="auto"/>
        <w:bottom w:val="none" w:sz="0" w:space="0" w:color="auto"/>
        <w:right w:val="none" w:sz="0" w:space="0" w:color="auto"/>
      </w:divBdr>
    </w:div>
    <w:div w:id="1236163046">
      <w:bodyDiv w:val="1"/>
      <w:marLeft w:val="0"/>
      <w:marRight w:val="0"/>
      <w:marTop w:val="0"/>
      <w:marBottom w:val="0"/>
      <w:divBdr>
        <w:top w:val="none" w:sz="0" w:space="0" w:color="auto"/>
        <w:left w:val="none" w:sz="0" w:space="0" w:color="auto"/>
        <w:bottom w:val="none" w:sz="0" w:space="0" w:color="auto"/>
        <w:right w:val="none" w:sz="0" w:space="0" w:color="auto"/>
      </w:divBdr>
    </w:div>
    <w:div w:id="1253709661">
      <w:bodyDiv w:val="1"/>
      <w:marLeft w:val="0"/>
      <w:marRight w:val="0"/>
      <w:marTop w:val="0"/>
      <w:marBottom w:val="0"/>
      <w:divBdr>
        <w:top w:val="none" w:sz="0" w:space="0" w:color="auto"/>
        <w:left w:val="none" w:sz="0" w:space="0" w:color="auto"/>
        <w:bottom w:val="none" w:sz="0" w:space="0" w:color="auto"/>
        <w:right w:val="none" w:sz="0" w:space="0" w:color="auto"/>
      </w:divBdr>
    </w:div>
    <w:div w:id="1323387868">
      <w:bodyDiv w:val="1"/>
      <w:marLeft w:val="0"/>
      <w:marRight w:val="0"/>
      <w:marTop w:val="0"/>
      <w:marBottom w:val="0"/>
      <w:divBdr>
        <w:top w:val="none" w:sz="0" w:space="0" w:color="auto"/>
        <w:left w:val="none" w:sz="0" w:space="0" w:color="auto"/>
        <w:bottom w:val="none" w:sz="0" w:space="0" w:color="auto"/>
        <w:right w:val="none" w:sz="0" w:space="0" w:color="auto"/>
      </w:divBdr>
    </w:div>
    <w:div w:id="1327586761">
      <w:bodyDiv w:val="1"/>
      <w:marLeft w:val="0"/>
      <w:marRight w:val="0"/>
      <w:marTop w:val="0"/>
      <w:marBottom w:val="0"/>
      <w:divBdr>
        <w:top w:val="none" w:sz="0" w:space="0" w:color="auto"/>
        <w:left w:val="none" w:sz="0" w:space="0" w:color="auto"/>
        <w:bottom w:val="none" w:sz="0" w:space="0" w:color="auto"/>
        <w:right w:val="none" w:sz="0" w:space="0" w:color="auto"/>
      </w:divBdr>
    </w:div>
    <w:div w:id="1408260610">
      <w:bodyDiv w:val="1"/>
      <w:marLeft w:val="0"/>
      <w:marRight w:val="0"/>
      <w:marTop w:val="0"/>
      <w:marBottom w:val="0"/>
      <w:divBdr>
        <w:top w:val="none" w:sz="0" w:space="0" w:color="auto"/>
        <w:left w:val="none" w:sz="0" w:space="0" w:color="auto"/>
        <w:bottom w:val="none" w:sz="0" w:space="0" w:color="auto"/>
        <w:right w:val="none" w:sz="0" w:space="0" w:color="auto"/>
      </w:divBdr>
    </w:div>
    <w:div w:id="1584950510">
      <w:bodyDiv w:val="1"/>
      <w:marLeft w:val="0"/>
      <w:marRight w:val="0"/>
      <w:marTop w:val="0"/>
      <w:marBottom w:val="0"/>
      <w:divBdr>
        <w:top w:val="none" w:sz="0" w:space="0" w:color="auto"/>
        <w:left w:val="none" w:sz="0" w:space="0" w:color="auto"/>
        <w:bottom w:val="none" w:sz="0" w:space="0" w:color="auto"/>
        <w:right w:val="none" w:sz="0" w:space="0" w:color="auto"/>
      </w:divBdr>
    </w:div>
    <w:div w:id="1787305611">
      <w:bodyDiv w:val="1"/>
      <w:marLeft w:val="0"/>
      <w:marRight w:val="0"/>
      <w:marTop w:val="0"/>
      <w:marBottom w:val="0"/>
      <w:divBdr>
        <w:top w:val="none" w:sz="0" w:space="0" w:color="auto"/>
        <w:left w:val="none" w:sz="0" w:space="0" w:color="auto"/>
        <w:bottom w:val="none" w:sz="0" w:space="0" w:color="auto"/>
        <w:right w:val="none" w:sz="0" w:space="0" w:color="auto"/>
      </w:divBdr>
    </w:div>
    <w:div w:id="18426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Singercm">
  <a:themeElements>
    <a:clrScheme name="Singer Capital Markets">
      <a:dk1>
        <a:srgbClr val="004513"/>
      </a:dk1>
      <a:lt1>
        <a:srgbClr val="057C35"/>
      </a:lt1>
      <a:dk2>
        <a:srgbClr val="13B455"/>
      </a:dk2>
      <a:lt2>
        <a:srgbClr val="14CA5E"/>
      </a:lt2>
      <a:accent1>
        <a:srgbClr val="78E59E"/>
      </a:accent1>
      <a:accent2>
        <a:srgbClr val="E8BB8F"/>
      </a:accent2>
      <a:accent3>
        <a:srgbClr val="F5AB29"/>
      </a:accent3>
      <a:accent4>
        <a:srgbClr val="F75C52"/>
      </a:accent4>
      <a:accent5>
        <a:srgbClr val="1F8F87"/>
      </a:accent5>
      <a:accent6>
        <a:srgbClr val="B8240D"/>
      </a:accent6>
      <a:hlink>
        <a:srgbClr val="14CA5E"/>
      </a:hlink>
      <a:folHlink>
        <a:srgbClr val="004513"/>
      </a:folHlink>
    </a:clrScheme>
    <a:fontScheme name="Singer Capital Markets">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www.imanage.com/work/xmlschema">
  <documentid>DM!3034124.1</documentid>
  <senderid>ANM</senderid>
  <senderemail>ANDREW.MANSON@DMWS.COM</senderemail>
  <lastmodified>2025-07-02T11:44:00.0000000+01:00</lastmodified>
  <database>DM</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Legal02!116147086.1</documentid>
  <senderid>KXS02</senderid>
  <senderemail>KATE.SEABOURNE-PUGH@UK.GOWLINGWLG.COM</senderemail>
  <lastmodified>2025-07-02T09:49:00.0000000+01:00</lastmodified>
  <database>Legal02</database>
</properties>
</file>

<file path=customXml/itemProps1.xml><?xml version="1.0" encoding="utf-8"?>
<ds:datastoreItem xmlns:ds="http://schemas.openxmlformats.org/officeDocument/2006/customXml" ds:itemID="{315774A6-3E43-4456-9501-FEAD26B4F0DC}">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B69D9C44-A514-4B9D-8021-06CCF7E249E8}">
  <ds:schemaRefs>
    <ds:schemaRef ds:uri="http://schemas.openxmlformats.org/officeDocument/2006/bibliography"/>
  </ds:schemaRefs>
</ds:datastoreItem>
</file>

<file path=customXml/itemProps3.xml><?xml version="1.0" encoding="utf-8"?>
<ds:datastoreItem xmlns:ds="http://schemas.openxmlformats.org/officeDocument/2006/customXml" ds:itemID="{10021DC1-A5F0-40E7-AADC-41E18BBE9C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Butcher</cp:lastModifiedBy>
  <cp:revision>3</cp:revision>
  <dcterms:created xsi:type="dcterms:W3CDTF">2025-07-02T10:58:00Z</dcterms:created>
  <dcterms:modified xsi:type="dcterms:W3CDTF">2025-07-02T11:02:00Z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LEGAL02#116147086v1[KXS02]</vt:lpwstr>
  </property>
</Properties>
</file>