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59C3" w14:textId="565F74B4" w:rsidR="001F1767" w:rsidRPr="001F1767" w:rsidRDefault="001F1767" w:rsidP="001F1767">
      <w:pPr>
        <w:rPr>
          <w:rFonts w:ascii="Lato" w:hAnsi="Lato"/>
        </w:rPr>
      </w:pPr>
      <w:r w:rsidRPr="001F1767">
        <w:rPr>
          <w:rFonts w:ascii="Lato" w:hAnsi="Lato"/>
        </w:rPr>
        <w:t>Tom Williams, Partner and Head of Energy &amp; Infrastructure</w:t>
      </w:r>
    </w:p>
    <w:p w14:paraId="39DF684D" w14:textId="1F21B15F" w:rsidR="001F1767" w:rsidRDefault="002A37DB" w:rsidP="001F1767">
      <w:pPr>
        <w:rPr>
          <w:rFonts w:ascii="Lato" w:hAnsi="Lato"/>
          <w:color w:val="13A673"/>
        </w:rPr>
      </w:pPr>
      <w:r>
        <w:rPr>
          <w:rFonts w:ascii="Lato" w:hAnsi="Lato"/>
          <w:color w:val="13A673"/>
        </w:rPr>
        <w:t>Gareth Miller</w:t>
      </w:r>
      <w:r w:rsidR="00BB3457">
        <w:rPr>
          <w:rFonts w:ascii="Lato" w:hAnsi="Lato"/>
          <w:color w:val="13A673"/>
        </w:rPr>
        <w:t>, Chair of Energy Markets Risk Committee</w:t>
      </w:r>
    </w:p>
    <w:p w14:paraId="39F351E1" w14:textId="1A295363" w:rsidR="001F1767" w:rsidRPr="001F1767" w:rsidRDefault="001F1767" w:rsidP="001F1767">
      <w:pPr>
        <w:pStyle w:val="Subtitle"/>
        <w:rPr>
          <w:rFonts w:ascii="Lato" w:hAnsi="Lato"/>
          <w:b/>
          <w:bCs/>
        </w:rPr>
      </w:pPr>
      <w:r w:rsidRPr="001F1767">
        <w:rPr>
          <w:rFonts w:ascii="Lato" w:hAnsi="Lato"/>
          <w:b/>
          <w:bCs/>
        </w:rPr>
        <w:t>Transcript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170"/>
      </w:tblGrid>
      <w:tr w:rsidR="001F1767" w:rsidRPr="001F1767" w14:paraId="44FBA508" w14:textId="77777777" w:rsidTr="001F1767">
        <w:tc>
          <w:tcPr>
            <w:tcW w:w="846" w:type="dxa"/>
          </w:tcPr>
          <w:p w14:paraId="00887B43" w14:textId="47E277D9" w:rsidR="001F1767" w:rsidRPr="001F1767" w:rsidRDefault="001F1767" w:rsidP="001504F5">
            <w:pPr>
              <w:rPr>
                <w:rFonts w:ascii="Lato" w:hAnsi="Lato"/>
              </w:rPr>
            </w:pPr>
            <w:r w:rsidRPr="001F1767">
              <w:rPr>
                <w:rFonts w:ascii="Lato" w:hAnsi="Lato"/>
              </w:rPr>
              <w:t>00:</w:t>
            </w:r>
            <w:r w:rsidR="002C6FE6">
              <w:rPr>
                <w:rFonts w:ascii="Lato" w:hAnsi="Lato"/>
              </w:rPr>
              <w:t>0</w:t>
            </w:r>
            <w:r w:rsidR="00E07450">
              <w:rPr>
                <w:rFonts w:ascii="Lato" w:hAnsi="Lato"/>
              </w:rPr>
              <w:t>8</w:t>
            </w:r>
          </w:p>
        </w:tc>
        <w:tc>
          <w:tcPr>
            <w:tcW w:w="8170" w:type="dxa"/>
          </w:tcPr>
          <w:p w14:paraId="0EED69AC" w14:textId="25135177" w:rsidR="001F1767" w:rsidRPr="001F1767" w:rsidRDefault="00183E3D" w:rsidP="001504F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Hi there and w</w:t>
            </w:r>
            <w:r w:rsidR="00081B15">
              <w:rPr>
                <w:rFonts w:ascii="Lato" w:hAnsi="Lato"/>
              </w:rPr>
              <w:t xml:space="preserve">elcome </w:t>
            </w:r>
            <w:r w:rsidR="00A83812">
              <w:rPr>
                <w:rFonts w:ascii="Lato" w:hAnsi="Lato"/>
              </w:rPr>
              <w:t xml:space="preserve">back </w:t>
            </w:r>
            <w:r w:rsidR="00081B15">
              <w:rPr>
                <w:rFonts w:ascii="Lato" w:hAnsi="Lato"/>
              </w:rPr>
              <w:t>to</w:t>
            </w:r>
            <w:r w:rsidR="004169E8">
              <w:rPr>
                <w:rFonts w:ascii="Lato" w:hAnsi="Lato"/>
              </w:rPr>
              <w:t xml:space="preserve"> </w:t>
            </w:r>
            <w:r w:rsidR="002C6FE6">
              <w:rPr>
                <w:rFonts w:ascii="Lato" w:hAnsi="Lato"/>
              </w:rPr>
              <w:t xml:space="preserve">another edition of </w:t>
            </w:r>
            <w:r w:rsidR="002208F2">
              <w:rPr>
                <w:rFonts w:ascii="Lato" w:hAnsi="Lato"/>
              </w:rPr>
              <w:t>the</w:t>
            </w:r>
            <w:r w:rsidR="002C6FE6">
              <w:rPr>
                <w:rFonts w:ascii="Lato" w:hAnsi="Lato"/>
              </w:rPr>
              <w:t xml:space="preserve"> Energy Transition Shorts.</w:t>
            </w:r>
            <w:r w:rsidR="006E4992">
              <w:rPr>
                <w:rFonts w:ascii="Lato" w:hAnsi="Lato"/>
              </w:rPr>
              <w:t xml:space="preserve"> </w:t>
            </w:r>
            <w:r w:rsidR="002208F2">
              <w:rPr>
                <w:rFonts w:ascii="Lato" w:hAnsi="Lato"/>
              </w:rPr>
              <w:t>I</w:t>
            </w:r>
            <w:r w:rsidR="00A83812">
              <w:rPr>
                <w:rFonts w:ascii="Lato" w:hAnsi="Lato"/>
              </w:rPr>
              <w:t>’m</w:t>
            </w:r>
            <w:r w:rsidR="002208F2">
              <w:rPr>
                <w:rFonts w:ascii="Lato" w:hAnsi="Lato"/>
              </w:rPr>
              <w:t xml:space="preserve"> </w:t>
            </w:r>
            <w:r w:rsidR="002C6FE6">
              <w:rPr>
                <w:rFonts w:ascii="Lato" w:hAnsi="Lato"/>
              </w:rPr>
              <w:t xml:space="preserve">joined </w:t>
            </w:r>
            <w:r w:rsidR="00226898">
              <w:rPr>
                <w:rFonts w:ascii="Lato" w:hAnsi="Lato"/>
              </w:rPr>
              <w:t xml:space="preserve">today </w:t>
            </w:r>
            <w:r w:rsidR="002C6FE6">
              <w:rPr>
                <w:rFonts w:ascii="Lato" w:hAnsi="Lato"/>
              </w:rPr>
              <w:t xml:space="preserve">by </w:t>
            </w:r>
            <w:r w:rsidR="002208F2">
              <w:rPr>
                <w:rFonts w:ascii="Lato" w:hAnsi="Lato"/>
              </w:rPr>
              <w:t>Gareth Miller</w:t>
            </w:r>
            <w:r w:rsidR="00226898">
              <w:rPr>
                <w:rFonts w:ascii="Lato" w:hAnsi="Lato"/>
              </w:rPr>
              <w:t>, energy markets and regulatory guru</w:t>
            </w:r>
            <w:r w:rsidR="0090573E">
              <w:rPr>
                <w:rFonts w:ascii="Lato" w:hAnsi="Lato"/>
              </w:rPr>
              <w:t xml:space="preserve"> a</w:t>
            </w:r>
            <w:r w:rsidR="00226898">
              <w:rPr>
                <w:rFonts w:ascii="Lato" w:hAnsi="Lato"/>
              </w:rPr>
              <w:t>nd Chair</w:t>
            </w:r>
            <w:r w:rsidR="00016452">
              <w:rPr>
                <w:rFonts w:ascii="Lato" w:hAnsi="Lato"/>
              </w:rPr>
              <w:t xml:space="preserve"> of our Energy M</w:t>
            </w:r>
            <w:r w:rsidR="00145E63">
              <w:rPr>
                <w:rFonts w:ascii="Lato" w:hAnsi="Lato"/>
              </w:rPr>
              <w:t xml:space="preserve">arkets Risk Committee. </w:t>
            </w:r>
            <w:r w:rsidR="00016452">
              <w:rPr>
                <w:rFonts w:ascii="Lato" w:hAnsi="Lato"/>
              </w:rPr>
              <w:t>This session</w:t>
            </w:r>
            <w:r w:rsidR="00AF7592">
              <w:rPr>
                <w:rFonts w:ascii="Lato" w:hAnsi="Lato"/>
              </w:rPr>
              <w:t xml:space="preserve"> we were thinking about talking about some of the reform that’s going on in the energy markets and specifically grid reform.</w:t>
            </w:r>
            <w:r w:rsidR="00A95622">
              <w:rPr>
                <w:rFonts w:ascii="Lato" w:hAnsi="Lato"/>
              </w:rPr>
              <w:t xml:space="preserve"> </w:t>
            </w:r>
            <w:r w:rsidR="006279D9">
              <w:rPr>
                <w:rFonts w:ascii="Lato" w:hAnsi="Lato"/>
              </w:rPr>
              <w:t xml:space="preserve">So, Gareth, talk to us about </w:t>
            </w:r>
            <w:r w:rsidR="00AE7ED5">
              <w:rPr>
                <w:rFonts w:ascii="Lato" w:hAnsi="Lato"/>
              </w:rPr>
              <w:t>the grid reform in the UK. Talk to us about what Gate 2 is</w:t>
            </w:r>
            <w:r w:rsidR="00D84586">
              <w:rPr>
                <w:rFonts w:ascii="Lato" w:hAnsi="Lato"/>
              </w:rPr>
              <w:t xml:space="preserve"> a</w:t>
            </w:r>
            <w:r w:rsidR="00AE7ED5">
              <w:rPr>
                <w:rFonts w:ascii="Lato" w:hAnsi="Lato"/>
              </w:rPr>
              <w:t xml:space="preserve">nd how we got here. </w:t>
            </w:r>
          </w:p>
        </w:tc>
      </w:tr>
      <w:tr w:rsidR="00DF49E5" w:rsidRPr="001F1767" w14:paraId="1F9C65CA" w14:textId="77777777" w:rsidTr="001F1767">
        <w:tc>
          <w:tcPr>
            <w:tcW w:w="846" w:type="dxa"/>
          </w:tcPr>
          <w:p w14:paraId="2BDC9FC1" w14:textId="6FE8A50E" w:rsidR="00DF49E5" w:rsidRDefault="00DF49E5" w:rsidP="001504F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="00473565">
              <w:rPr>
                <w:rFonts w:ascii="Lato" w:hAnsi="Lato"/>
              </w:rPr>
              <w:t>0:42</w:t>
            </w:r>
          </w:p>
        </w:tc>
        <w:tc>
          <w:tcPr>
            <w:tcW w:w="8170" w:type="dxa"/>
          </w:tcPr>
          <w:p w14:paraId="49E98B93" w14:textId="2F3B074E" w:rsidR="00DF49E5" w:rsidRPr="00803AB8" w:rsidRDefault="000F466F" w:rsidP="001504F5">
            <w:pPr>
              <w:rPr>
                <w:rFonts w:ascii="Lato" w:hAnsi="Lato"/>
                <w:color w:val="13A673"/>
              </w:rPr>
            </w:pPr>
            <w:r>
              <w:rPr>
                <w:rFonts w:ascii="Lato" w:hAnsi="Lato"/>
                <w:color w:val="13A673"/>
              </w:rPr>
              <w:t>Yeah,</w:t>
            </w:r>
            <w:r w:rsidR="00473565">
              <w:rPr>
                <w:rFonts w:ascii="Lato" w:hAnsi="Lato"/>
                <w:color w:val="13A673"/>
              </w:rPr>
              <w:t xml:space="preserve"> so the best place to start probably</w:t>
            </w:r>
            <w:r w:rsidR="00EA73D2">
              <w:rPr>
                <w:rFonts w:ascii="Lato" w:hAnsi="Lato"/>
                <w:color w:val="13A673"/>
              </w:rPr>
              <w:t xml:space="preserve"> is what pre-empted this decision to reform the grid queue. </w:t>
            </w:r>
            <w:r w:rsidR="00257B36">
              <w:rPr>
                <w:rFonts w:ascii="Lato" w:hAnsi="Lato"/>
                <w:color w:val="13A673"/>
              </w:rPr>
              <w:t>We found ourselves in a</w:t>
            </w:r>
            <w:r w:rsidR="009E5058">
              <w:rPr>
                <w:rFonts w:ascii="Lato" w:hAnsi="Lato"/>
                <w:color w:val="13A673"/>
              </w:rPr>
              <w:t xml:space="preserve"> rather surprising position where we had something like 600 to 800 </w:t>
            </w:r>
            <w:r w:rsidR="008329F0">
              <w:rPr>
                <w:rFonts w:ascii="Lato" w:hAnsi="Lato"/>
                <w:color w:val="13A673"/>
              </w:rPr>
              <w:t>gigawatts of planned projects in the grid connection queue in the UK</w:t>
            </w:r>
            <w:r w:rsidR="008B6E49">
              <w:rPr>
                <w:rFonts w:ascii="Lato" w:hAnsi="Lato"/>
                <w:color w:val="13A673"/>
              </w:rPr>
              <w:t>.</w:t>
            </w:r>
          </w:p>
        </w:tc>
      </w:tr>
      <w:tr w:rsidR="00803AB8" w:rsidRPr="001F1767" w14:paraId="75C3DA7E" w14:textId="77777777" w:rsidTr="001F1767">
        <w:tc>
          <w:tcPr>
            <w:tcW w:w="846" w:type="dxa"/>
          </w:tcPr>
          <w:p w14:paraId="08A63252" w14:textId="61C0BB52" w:rsidR="00803AB8" w:rsidRDefault="000F2D07" w:rsidP="001504F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="00216D80">
              <w:rPr>
                <w:rFonts w:ascii="Lato" w:hAnsi="Lato"/>
              </w:rPr>
              <w:t>1:</w:t>
            </w:r>
            <w:r w:rsidR="008B6E49">
              <w:rPr>
                <w:rFonts w:ascii="Lato" w:hAnsi="Lato"/>
              </w:rPr>
              <w:t>04</w:t>
            </w:r>
          </w:p>
        </w:tc>
        <w:tc>
          <w:tcPr>
            <w:tcW w:w="8170" w:type="dxa"/>
          </w:tcPr>
          <w:p w14:paraId="6AE53234" w14:textId="1DA5EA55" w:rsidR="00803AB8" w:rsidRPr="005E2314" w:rsidRDefault="008B6E49" w:rsidP="005E2314">
            <w:r>
              <w:rPr>
                <w:rFonts w:ascii="Lato" w:hAnsi="Lato"/>
                <w:color w:val="13A673"/>
              </w:rPr>
              <w:t>O</w:t>
            </w:r>
            <w:r w:rsidR="00C341BB">
              <w:rPr>
                <w:rFonts w:ascii="Lato" w:hAnsi="Lato"/>
                <w:color w:val="13A673"/>
              </w:rPr>
              <w:t>f course, with that number of projects in the queue there were frustrations in the length of time</w:t>
            </w:r>
            <w:r w:rsidR="002A5659">
              <w:rPr>
                <w:rFonts w:ascii="Lato" w:hAnsi="Lato"/>
                <w:color w:val="13A673"/>
              </w:rPr>
              <w:t xml:space="preserve"> that people were being given connection offers and to be able to energise and start delivering green</w:t>
            </w:r>
            <w:r w:rsidR="009978F1">
              <w:rPr>
                <w:rFonts w:ascii="Lato" w:hAnsi="Lato"/>
                <w:color w:val="13A673"/>
              </w:rPr>
              <w:t xml:space="preserve"> electricity to the network. </w:t>
            </w:r>
            <w:proofErr w:type="gramStart"/>
            <w:r w:rsidR="009978F1">
              <w:rPr>
                <w:rFonts w:ascii="Lato" w:hAnsi="Lato"/>
                <w:color w:val="13A673"/>
              </w:rPr>
              <w:t>So</w:t>
            </w:r>
            <w:proofErr w:type="gramEnd"/>
            <w:r w:rsidR="009978F1">
              <w:rPr>
                <w:rFonts w:ascii="Lato" w:hAnsi="Lato"/>
                <w:color w:val="13A673"/>
              </w:rPr>
              <w:t xml:space="preserve"> there’s been pressure for some time to reform that queue and find ways in which you could</w:t>
            </w:r>
            <w:r w:rsidR="00081876">
              <w:rPr>
                <w:rFonts w:ascii="Lato" w:hAnsi="Lato"/>
                <w:color w:val="13A673"/>
              </w:rPr>
              <w:t xml:space="preserve"> strip out the so-called zombie projects, projects that have been there for many years</w:t>
            </w:r>
            <w:r w:rsidR="00BA7D5B">
              <w:rPr>
                <w:rFonts w:ascii="Lato" w:hAnsi="Lato"/>
                <w:color w:val="13A673"/>
              </w:rPr>
              <w:t xml:space="preserve"> but really didn’t have a huge chance of being delivered. </w:t>
            </w:r>
            <w:proofErr w:type="gramStart"/>
            <w:r w:rsidR="00BA7D5B">
              <w:rPr>
                <w:rFonts w:ascii="Lato" w:hAnsi="Lato"/>
                <w:color w:val="13A673"/>
              </w:rPr>
              <w:t>So</w:t>
            </w:r>
            <w:proofErr w:type="gramEnd"/>
            <w:r w:rsidR="00BA7D5B">
              <w:rPr>
                <w:rFonts w:ascii="Lato" w:hAnsi="Lato"/>
                <w:color w:val="13A673"/>
              </w:rPr>
              <w:t xml:space="preserve"> you could accelerate the connection dates for</w:t>
            </w:r>
            <w:r w:rsidR="00041C7D">
              <w:rPr>
                <w:rFonts w:ascii="Lato" w:hAnsi="Lato"/>
                <w:color w:val="13A673"/>
              </w:rPr>
              <w:t xml:space="preserve"> the projects that do have a chan</w:t>
            </w:r>
            <w:r w:rsidR="00993BBA">
              <w:rPr>
                <w:rFonts w:ascii="Lato" w:hAnsi="Lato"/>
                <w:color w:val="13A673"/>
              </w:rPr>
              <w:t>c</w:t>
            </w:r>
            <w:r w:rsidR="00041C7D">
              <w:rPr>
                <w:rFonts w:ascii="Lato" w:hAnsi="Lato"/>
                <w:color w:val="13A673"/>
              </w:rPr>
              <w:t xml:space="preserve">e of being delivered. And of course, </w:t>
            </w:r>
            <w:r w:rsidR="00993BBA">
              <w:rPr>
                <w:rFonts w:ascii="Lato" w:hAnsi="Lato"/>
                <w:color w:val="13A673"/>
              </w:rPr>
              <w:t>there’s benefits for network companies in taking that approach</w:t>
            </w:r>
            <w:r w:rsidR="001061E1">
              <w:rPr>
                <w:rFonts w:ascii="Lato" w:hAnsi="Lato"/>
                <w:color w:val="13A673"/>
              </w:rPr>
              <w:t xml:space="preserve"> because the network companies are having to make </w:t>
            </w:r>
            <w:r w:rsidR="00A32476">
              <w:rPr>
                <w:rFonts w:ascii="Lato" w:hAnsi="Lato"/>
                <w:color w:val="13A673"/>
              </w:rPr>
              <w:t>investment plans and</w:t>
            </w:r>
            <w:r w:rsidR="00A73C01">
              <w:rPr>
                <w:rFonts w:ascii="Lato" w:hAnsi="Lato"/>
                <w:color w:val="13A673"/>
              </w:rPr>
              <w:t xml:space="preserve"> plan </w:t>
            </w:r>
            <w:proofErr w:type="gramStart"/>
            <w:r w:rsidR="00A73C01">
              <w:rPr>
                <w:rFonts w:ascii="Lato" w:hAnsi="Lato"/>
                <w:color w:val="13A673"/>
              </w:rPr>
              <w:t>on the basis of</w:t>
            </w:r>
            <w:proofErr w:type="gramEnd"/>
            <w:r w:rsidR="00A73C01">
              <w:rPr>
                <w:rFonts w:ascii="Lato" w:hAnsi="Lato"/>
                <w:color w:val="13A673"/>
              </w:rPr>
              <w:t xml:space="preserve"> the queue. </w:t>
            </w:r>
            <w:proofErr w:type="gramStart"/>
            <w:r w:rsidR="00A73C01">
              <w:rPr>
                <w:rFonts w:ascii="Lato" w:hAnsi="Lato"/>
                <w:color w:val="13A673"/>
              </w:rPr>
              <w:t>So</w:t>
            </w:r>
            <w:proofErr w:type="gramEnd"/>
            <w:r w:rsidR="00A73C01">
              <w:rPr>
                <w:rFonts w:ascii="Lato" w:hAnsi="Lato"/>
                <w:color w:val="13A673"/>
              </w:rPr>
              <w:t xml:space="preserve"> the greater visibility</w:t>
            </w:r>
            <w:r w:rsidR="005119AA">
              <w:rPr>
                <w:rFonts w:ascii="Lato" w:hAnsi="Lato"/>
                <w:color w:val="13A673"/>
              </w:rPr>
              <w:t xml:space="preserve"> </w:t>
            </w:r>
            <w:r w:rsidR="005119AA" w:rsidRPr="005119AA">
              <w:rPr>
                <w:rFonts w:ascii="Lato" w:hAnsi="Lato"/>
              </w:rPr>
              <w:t>-</w:t>
            </w:r>
            <w:r w:rsidR="00A73C01" w:rsidRPr="005119AA">
              <w:rPr>
                <w:rFonts w:ascii="Lato" w:hAnsi="Lato"/>
              </w:rPr>
              <w:t xml:space="preserve"> of the applications</w:t>
            </w:r>
            <w:r w:rsidR="005119AA">
              <w:rPr>
                <w:rFonts w:ascii="Lato" w:hAnsi="Lato"/>
                <w:color w:val="13A673"/>
              </w:rPr>
              <w:t xml:space="preserve">. Yes, the greater visibility NESO </w:t>
            </w:r>
            <w:proofErr w:type="gramStart"/>
            <w:r w:rsidR="005119AA">
              <w:rPr>
                <w:rFonts w:ascii="Lato" w:hAnsi="Lato"/>
                <w:color w:val="13A673"/>
              </w:rPr>
              <w:t>has</w:t>
            </w:r>
            <w:proofErr w:type="gramEnd"/>
            <w:r w:rsidR="00EC60E6">
              <w:rPr>
                <w:rFonts w:ascii="Lato" w:hAnsi="Lato"/>
                <w:color w:val="13A673"/>
              </w:rPr>
              <w:t xml:space="preserve"> and distribution network operators have over how real these projects </w:t>
            </w:r>
            <w:proofErr w:type="gramStart"/>
            <w:r w:rsidR="00EC60E6">
              <w:rPr>
                <w:rFonts w:ascii="Lato" w:hAnsi="Lato"/>
                <w:color w:val="13A673"/>
              </w:rPr>
              <w:t>are</w:t>
            </w:r>
            <w:proofErr w:type="gramEnd"/>
            <w:r w:rsidR="00EC60E6">
              <w:rPr>
                <w:rFonts w:ascii="Lato" w:hAnsi="Lato"/>
                <w:color w:val="13A673"/>
              </w:rPr>
              <w:t xml:space="preserve"> or not is also </w:t>
            </w:r>
            <w:r w:rsidR="00013E8E">
              <w:rPr>
                <w:rFonts w:ascii="Lato" w:hAnsi="Lato"/>
                <w:color w:val="13A673"/>
              </w:rPr>
              <w:t xml:space="preserve">vital. It’s vital from a consumer cost perspective. </w:t>
            </w:r>
            <w:proofErr w:type="gramStart"/>
            <w:r w:rsidR="00013E8E">
              <w:rPr>
                <w:rFonts w:ascii="Lato" w:hAnsi="Lato"/>
                <w:color w:val="13A673"/>
              </w:rPr>
              <w:t>So</w:t>
            </w:r>
            <w:proofErr w:type="gramEnd"/>
            <w:r w:rsidR="00013E8E">
              <w:rPr>
                <w:rFonts w:ascii="Lato" w:hAnsi="Lato"/>
                <w:color w:val="13A673"/>
              </w:rPr>
              <w:t xml:space="preserve"> you don’t end up</w:t>
            </w:r>
            <w:r w:rsidR="008749A7">
              <w:rPr>
                <w:rFonts w:ascii="Lato" w:hAnsi="Lato"/>
                <w:color w:val="13A673"/>
              </w:rPr>
              <w:t xml:space="preserve"> building a bunch of wires you may never use or you, on the flip side, </w:t>
            </w:r>
            <w:r w:rsidR="008F04EE">
              <w:rPr>
                <w:rFonts w:ascii="Lato" w:hAnsi="Lato"/>
                <w:color w:val="13A673"/>
              </w:rPr>
              <w:t>you don’t build enough wires in the right places to connect the projects</w:t>
            </w:r>
            <w:r w:rsidR="004825B8">
              <w:rPr>
                <w:rFonts w:ascii="Lato" w:hAnsi="Lato"/>
                <w:color w:val="13A673"/>
              </w:rPr>
              <w:t xml:space="preserve"> you want. So that’s how we’ve ended up where we were. </w:t>
            </w:r>
          </w:p>
        </w:tc>
      </w:tr>
      <w:tr w:rsidR="00B276CD" w:rsidRPr="001F1767" w14:paraId="776FB8CC" w14:textId="77777777" w:rsidTr="001F1767">
        <w:tc>
          <w:tcPr>
            <w:tcW w:w="846" w:type="dxa"/>
          </w:tcPr>
          <w:p w14:paraId="58923C52" w14:textId="2ADFBF9A" w:rsidR="00B276CD" w:rsidRDefault="00B276CD" w:rsidP="001504F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="008C6069">
              <w:rPr>
                <w:rFonts w:ascii="Lato" w:hAnsi="Lato"/>
              </w:rPr>
              <w:t>2:</w:t>
            </w:r>
            <w:r w:rsidR="00AE7FDB">
              <w:rPr>
                <w:rFonts w:ascii="Lato" w:hAnsi="Lato"/>
              </w:rPr>
              <w:t>13</w:t>
            </w:r>
          </w:p>
        </w:tc>
        <w:tc>
          <w:tcPr>
            <w:tcW w:w="8170" w:type="dxa"/>
          </w:tcPr>
          <w:p w14:paraId="7D210953" w14:textId="68BE2A3A" w:rsidR="00B276CD" w:rsidRPr="00B276CD" w:rsidRDefault="00B807ED" w:rsidP="001504F5">
            <w:pPr>
              <w:rPr>
                <w:rFonts w:ascii="Lato" w:hAnsi="Lato"/>
                <w:color w:val="13A673"/>
              </w:rPr>
            </w:pPr>
            <w:r>
              <w:rPr>
                <w:rFonts w:ascii="Lato" w:hAnsi="Lato"/>
                <w:color w:val="13A673"/>
              </w:rPr>
              <w:t>As simple terms, what the grid connection reform process is doing is it’s taking that</w:t>
            </w:r>
            <w:r w:rsidR="000B4055">
              <w:rPr>
                <w:rFonts w:ascii="Lato" w:hAnsi="Lato"/>
                <w:color w:val="13A673"/>
              </w:rPr>
              <w:t xml:space="preserve"> existing queue and it’s asking fundamental questions like preparedness and strategic fit.</w:t>
            </w:r>
            <w:r w:rsidR="002743D4">
              <w:rPr>
                <w:rFonts w:ascii="Lato" w:hAnsi="Lato"/>
                <w:color w:val="13A673"/>
              </w:rPr>
              <w:t xml:space="preserve"> So, what determines whether you get a Gate 2</w:t>
            </w:r>
            <w:r w:rsidR="00922387">
              <w:rPr>
                <w:rFonts w:ascii="Lato" w:hAnsi="Lato"/>
                <w:color w:val="13A673"/>
              </w:rPr>
              <w:t xml:space="preserve"> notification, which essentially means you could get an accelerated connection date </w:t>
            </w:r>
            <w:proofErr w:type="gramStart"/>
            <w:r w:rsidR="00922387">
              <w:rPr>
                <w:rFonts w:ascii="Lato" w:hAnsi="Lato"/>
                <w:color w:val="13A673"/>
              </w:rPr>
              <w:t>in order to</w:t>
            </w:r>
            <w:proofErr w:type="gramEnd"/>
            <w:r w:rsidR="00922387">
              <w:rPr>
                <w:rFonts w:ascii="Lato" w:hAnsi="Lato"/>
                <w:color w:val="13A673"/>
              </w:rPr>
              <w:t xml:space="preserve"> be </w:t>
            </w:r>
            <w:r w:rsidR="006B4C20">
              <w:rPr>
                <w:rFonts w:ascii="Lato" w:hAnsi="Lato"/>
                <w:color w:val="13A673"/>
              </w:rPr>
              <w:t>on the bars for CP2030, is things around land rights.</w:t>
            </w:r>
            <w:r w:rsidR="00C67282">
              <w:rPr>
                <w:rFonts w:ascii="Lato" w:hAnsi="Lato"/>
                <w:color w:val="13A673"/>
              </w:rPr>
              <w:t xml:space="preserve"> So, do you have a panning application in and accepted by a local planning authority?</w:t>
            </w:r>
            <w:r w:rsidR="007A6EFB">
              <w:rPr>
                <w:rFonts w:ascii="Lato" w:hAnsi="Lato"/>
                <w:color w:val="13A673"/>
              </w:rPr>
              <w:t xml:space="preserve"> Have you bought the land? Do you have a land option? So that’s about preparedness.</w:t>
            </w:r>
            <w:r w:rsidR="004A40A0">
              <w:rPr>
                <w:rFonts w:ascii="Lato" w:hAnsi="Lato"/>
                <w:color w:val="13A673"/>
              </w:rPr>
              <w:t xml:space="preserve"> And then strategic fit is more of a </w:t>
            </w:r>
            <w:r w:rsidR="00141F69">
              <w:rPr>
                <w:rFonts w:ascii="Lato" w:hAnsi="Lato"/>
                <w:color w:val="13A673"/>
              </w:rPr>
              <w:t>top-down</w:t>
            </w:r>
            <w:r w:rsidR="004A40A0">
              <w:rPr>
                <w:rFonts w:ascii="Lato" w:hAnsi="Lato"/>
                <w:color w:val="13A673"/>
              </w:rPr>
              <w:t xml:space="preserve"> process that NESO have engaged in</w:t>
            </w:r>
            <w:r w:rsidR="001473D1">
              <w:rPr>
                <w:rFonts w:ascii="Lato" w:hAnsi="Lato"/>
                <w:color w:val="13A673"/>
              </w:rPr>
              <w:t xml:space="preserve"> with other network companies to see whether your project could </w:t>
            </w:r>
            <w:proofErr w:type="gramStart"/>
            <w:r w:rsidR="001473D1">
              <w:rPr>
                <w:rFonts w:ascii="Lato" w:hAnsi="Lato"/>
                <w:color w:val="13A673"/>
              </w:rPr>
              <w:t>actually contribute</w:t>
            </w:r>
            <w:proofErr w:type="gramEnd"/>
            <w:r w:rsidR="001473D1">
              <w:rPr>
                <w:rFonts w:ascii="Lato" w:hAnsi="Lato"/>
                <w:color w:val="13A673"/>
              </w:rPr>
              <w:t xml:space="preserve"> towards the headline goals that we’re trying to deliver to decarbonise the power </w:t>
            </w:r>
            <w:r w:rsidR="00C25D58">
              <w:rPr>
                <w:rFonts w:ascii="Lato" w:hAnsi="Lato"/>
                <w:color w:val="13A673"/>
              </w:rPr>
              <w:t xml:space="preserve">system. So, there’s been a lot of evidence being submitted around preparedness from the industry. </w:t>
            </w:r>
            <w:r w:rsidR="008514D0">
              <w:rPr>
                <w:rFonts w:ascii="Lato" w:hAnsi="Lato"/>
                <w:color w:val="13A673"/>
              </w:rPr>
              <w:t>And then there’s been a lot of work by the network companies, more top-down central planning of the networks</w:t>
            </w:r>
            <w:r w:rsidR="00CF56C5">
              <w:rPr>
                <w:rFonts w:ascii="Lato" w:hAnsi="Lato"/>
                <w:color w:val="13A673"/>
              </w:rPr>
              <w:t xml:space="preserve"> on a regional basis to work out whether the project you have is strategically relevant.</w:t>
            </w:r>
            <w:r w:rsidR="00396321">
              <w:rPr>
                <w:rFonts w:ascii="Lato" w:hAnsi="Lato"/>
                <w:color w:val="13A673"/>
              </w:rPr>
              <w:t xml:space="preserve"> And that is now reaching a conclusion. It’s been a pretty bumpy road, there’s been </w:t>
            </w:r>
            <w:r w:rsidR="00396321">
              <w:rPr>
                <w:rFonts w:ascii="Lato" w:hAnsi="Lato"/>
                <w:color w:val="13A673"/>
              </w:rPr>
              <w:lastRenderedPageBreak/>
              <w:t>some practical and system</w:t>
            </w:r>
            <w:r w:rsidR="00ED3A55">
              <w:rPr>
                <w:rFonts w:ascii="Lato" w:hAnsi="Lato"/>
                <w:color w:val="13A673"/>
              </w:rPr>
              <w:t xml:space="preserve"> challenges around the gathering of evidence, I actually – one of my other roles, </w:t>
            </w:r>
            <w:r w:rsidR="00040ECD">
              <w:rPr>
                <w:rFonts w:ascii="Lato" w:hAnsi="Lato"/>
                <w:color w:val="13A673"/>
              </w:rPr>
              <w:t>I do some work with the distribution network operation</w:t>
            </w:r>
            <w:r w:rsidR="00D50BB8">
              <w:rPr>
                <w:rFonts w:ascii="Lato" w:hAnsi="Lato"/>
                <w:color w:val="13A673"/>
              </w:rPr>
              <w:t xml:space="preserve"> and I can tell you that it’s been quite an ask </w:t>
            </w:r>
            <w:r w:rsidR="0005452E">
              <w:rPr>
                <w:rFonts w:ascii="Lato" w:hAnsi="Lato"/>
                <w:color w:val="13A673"/>
              </w:rPr>
              <w:t>from a resourcing and time perspective</w:t>
            </w:r>
            <w:r w:rsidR="00152481">
              <w:rPr>
                <w:rFonts w:ascii="Lato" w:hAnsi="Lato"/>
                <w:color w:val="13A673"/>
              </w:rPr>
              <w:t>, for them to work through the information that has been coming the other way from the industry.</w:t>
            </w:r>
          </w:p>
        </w:tc>
      </w:tr>
      <w:tr w:rsidR="00C439A7" w:rsidRPr="001F1767" w14:paraId="70A8F7A9" w14:textId="77777777" w:rsidTr="001F1767">
        <w:tc>
          <w:tcPr>
            <w:tcW w:w="846" w:type="dxa"/>
          </w:tcPr>
          <w:p w14:paraId="0FF931B4" w14:textId="4E9DA1AE" w:rsidR="00C439A7" w:rsidRDefault="00C439A7" w:rsidP="001504F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lastRenderedPageBreak/>
              <w:t>0</w:t>
            </w:r>
            <w:r w:rsidR="00954581">
              <w:rPr>
                <w:rFonts w:ascii="Lato" w:hAnsi="Lato"/>
              </w:rPr>
              <w:t>3:</w:t>
            </w:r>
            <w:r w:rsidR="00F33845">
              <w:rPr>
                <w:rFonts w:ascii="Lato" w:hAnsi="Lato"/>
              </w:rPr>
              <w:t>45</w:t>
            </w:r>
          </w:p>
        </w:tc>
        <w:tc>
          <w:tcPr>
            <w:tcW w:w="8170" w:type="dxa"/>
          </w:tcPr>
          <w:p w14:paraId="65F48541" w14:textId="19741310" w:rsidR="00C439A7" w:rsidRPr="00C439A7" w:rsidRDefault="00AD259A" w:rsidP="00A01367">
            <w:pPr>
              <w:rPr>
                <w:rFonts w:ascii="Lato" w:hAnsi="Lato"/>
              </w:rPr>
            </w:pPr>
            <w:r>
              <w:rPr>
                <w:rFonts w:ascii="Lato" w:hAnsi="Lato"/>
                <w:color w:val="13A673"/>
              </w:rPr>
              <w:t xml:space="preserve">But we’re now nearing the end of that process, </w:t>
            </w:r>
            <w:r w:rsidR="00375A17">
              <w:rPr>
                <w:rFonts w:ascii="Lato" w:hAnsi="Lato"/>
                <w:color w:val="13A673"/>
              </w:rPr>
              <w:t>which I think is obviously a very positive step.</w:t>
            </w:r>
            <w:r w:rsidR="000755C8" w:rsidRPr="000755C8">
              <w:rPr>
                <w:rFonts w:ascii="Lato" w:hAnsi="Lato"/>
                <w:color w:val="13A673"/>
              </w:rPr>
              <w:t xml:space="preserve"> </w:t>
            </w:r>
          </w:p>
        </w:tc>
      </w:tr>
      <w:tr w:rsidR="001A20F5" w:rsidRPr="001F1767" w14:paraId="7184C83B" w14:textId="77777777" w:rsidTr="001F1767">
        <w:tc>
          <w:tcPr>
            <w:tcW w:w="846" w:type="dxa"/>
          </w:tcPr>
          <w:p w14:paraId="41C0E720" w14:textId="04501F1C" w:rsidR="001A20F5" w:rsidRPr="00023189" w:rsidRDefault="000E482F" w:rsidP="001504F5">
            <w:pPr>
              <w:rPr>
                <w:rFonts w:ascii="Lato" w:hAnsi="Lato"/>
              </w:rPr>
            </w:pPr>
            <w:r w:rsidRPr="00023189">
              <w:rPr>
                <w:rFonts w:ascii="Lato" w:hAnsi="Lato"/>
              </w:rPr>
              <w:t>0</w:t>
            </w:r>
            <w:r w:rsidR="0026077E">
              <w:rPr>
                <w:rFonts w:ascii="Lato" w:hAnsi="Lato"/>
              </w:rPr>
              <w:t>3:</w:t>
            </w:r>
            <w:r w:rsidR="00375A17">
              <w:rPr>
                <w:rFonts w:ascii="Lato" w:hAnsi="Lato"/>
              </w:rPr>
              <w:t>5</w:t>
            </w:r>
            <w:r w:rsidR="0026077E">
              <w:rPr>
                <w:rFonts w:ascii="Lato" w:hAnsi="Lato"/>
              </w:rPr>
              <w:t>2</w:t>
            </w:r>
          </w:p>
        </w:tc>
        <w:tc>
          <w:tcPr>
            <w:tcW w:w="8170" w:type="dxa"/>
          </w:tcPr>
          <w:p w14:paraId="206F866D" w14:textId="0ADCC920" w:rsidR="001A20F5" w:rsidRPr="002A6C5A" w:rsidRDefault="00375A17" w:rsidP="001504F5">
            <w:r>
              <w:rPr>
                <w:rFonts w:ascii="Lato" w:hAnsi="Lato"/>
              </w:rPr>
              <w:t xml:space="preserve">Well, it’s been quite an undertaking. </w:t>
            </w:r>
            <w:r w:rsidR="004B374B">
              <w:rPr>
                <w:rFonts w:ascii="Lato" w:hAnsi="Lato"/>
              </w:rPr>
              <w:t>I mean, it is an enormous task to go from the system that we had to a full</w:t>
            </w:r>
            <w:r w:rsidR="0056024A">
              <w:rPr>
                <w:rFonts w:ascii="Lato" w:hAnsi="Lato"/>
              </w:rPr>
              <w:t xml:space="preserve"> system design, and then sorting through then what you want, what you need, </w:t>
            </w:r>
            <w:r w:rsidR="006B7253">
              <w:rPr>
                <w:rFonts w:ascii="Lato" w:hAnsi="Lato"/>
              </w:rPr>
              <w:t>where it’s meant to be, how it’s meant to connect, and then do all of this in the context of the</w:t>
            </w:r>
            <w:r w:rsidR="00B824F8">
              <w:rPr>
                <w:rFonts w:ascii="Lato" w:hAnsi="Lato"/>
              </w:rPr>
              <w:t xml:space="preserve"> kind of short time period and the demands of trying to meet policy targets in 2030.</w:t>
            </w:r>
            <w:r w:rsidR="003E4643">
              <w:rPr>
                <w:rFonts w:ascii="Lato" w:hAnsi="Lato"/>
              </w:rPr>
              <w:t xml:space="preserve"> So, you know, it felt at times </w:t>
            </w:r>
            <w:proofErr w:type="gramStart"/>
            <w:r w:rsidR="003E4643">
              <w:rPr>
                <w:rFonts w:ascii="Lato" w:hAnsi="Lato"/>
              </w:rPr>
              <w:t xml:space="preserve">during the </w:t>
            </w:r>
            <w:r w:rsidR="00C26564">
              <w:rPr>
                <w:rFonts w:ascii="Lato" w:hAnsi="Lato"/>
              </w:rPr>
              <w:t>course of</w:t>
            </w:r>
            <w:proofErr w:type="gramEnd"/>
            <w:r w:rsidR="00C26564">
              <w:rPr>
                <w:rFonts w:ascii="Lato" w:hAnsi="Lato"/>
              </w:rPr>
              <w:t xml:space="preserve"> this year, </w:t>
            </w:r>
            <w:r w:rsidR="002F3795">
              <w:rPr>
                <w:rFonts w:ascii="Lato" w:hAnsi="Lato"/>
              </w:rPr>
              <w:t>like we were getting ten years’ worth of reform into</w:t>
            </w:r>
            <w:r w:rsidR="007D6FDE">
              <w:rPr>
                <w:rFonts w:ascii="Lato" w:hAnsi="Lato"/>
              </w:rPr>
              <w:t xml:space="preserve"> the space of about six months. </w:t>
            </w:r>
          </w:p>
        </w:tc>
      </w:tr>
      <w:tr w:rsidR="000E482F" w:rsidRPr="001F1767" w14:paraId="56E59717" w14:textId="77777777" w:rsidTr="001F1767">
        <w:tc>
          <w:tcPr>
            <w:tcW w:w="846" w:type="dxa"/>
          </w:tcPr>
          <w:p w14:paraId="46FF3993" w14:textId="5C701EE9" w:rsidR="000E482F" w:rsidRDefault="00023189" w:rsidP="001504F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="00D956DB">
              <w:rPr>
                <w:rFonts w:ascii="Lato" w:hAnsi="Lato"/>
              </w:rPr>
              <w:t>4:</w:t>
            </w:r>
            <w:r w:rsidR="00B966B0">
              <w:rPr>
                <w:rFonts w:ascii="Lato" w:hAnsi="Lato"/>
              </w:rPr>
              <w:t>28</w:t>
            </w:r>
          </w:p>
        </w:tc>
        <w:tc>
          <w:tcPr>
            <w:tcW w:w="8170" w:type="dxa"/>
          </w:tcPr>
          <w:p w14:paraId="4850980A" w14:textId="46AE3554" w:rsidR="000E482F" w:rsidRPr="00DE6D3E" w:rsidRDefault="0082350F" w:rsidP="001504F5">
            <w:r>
              <w:rPr>
                <w:rFonts w:ascii="Lato" w:hAnsi="Lato"/>
                <w:color w:val="13A673"/>
              </w:rPr>
              <w:t>I think that is such a good point</w:t>
            </w:r>
            <w:r w:rsidR="0028021A">
              <w:rPr>
                <w:rFonts w:ascii="Lato" w:hAnsi="Lato"/>
                <w:color w:val="13A673"/>
              </w:rPr>
              <w:t xml:space="preserve"> because you talk about my long history in the energy</w:t>
            </w:r>
            <w:r w:rsidR="00244BE8">
              <w:rPr>
                <w:rFonts w:ascii="Lato" w:hAnsi="Lato"/>
                <w:color w:val="13A673"/>
              </w:rPr>
              <w:t xml:space="preserve"> sector, I could go back to conferences that I was chairing in 2006</w:t>
            </w:r>
            <w:r w:rsidR="0078758B">
              <w:rPr>
                <w:rFonts w:ascii="Lato" w:hAnsi="Lato"/>
                <w:color w:val="13A673"/>
              </w:rPr>
              <w:t>,</w:t>
            </w:r>
            <w:r w:rsidR="008E153D">
              <w:rPr>
                <w:rFonts w:ascii="Lato" w:hAnsi="Lato"/>
                <w:color w:val="13A673"/>
              </w:rPr>
              <w:t xml:space="preserve"> and people were talking about the big constraint</w:t>
            </w:r>
            <w:r w:rsidR="007256C4">
              <w:rPr>
                <w:rFonts w:ascii="Lato" w:hAnsi="Lato"/>
                <w:color w:val="13A673"/>
              </w:rPr>
              <w:t xml:space="preserve"> will be network.</w:t>
            </w:r>
            <w:r w:rsidR="0078758B">
              <w:rPr>
                <w:rFonts w:ascii="Lato" w:hAnsi="Lato"/>
                <w:color w:val="13A673"/>
              </w:rPr>
              <w:t xml:space="preserve"> We’ve had </w:t>
            </w:r>
            <w:proofErr w:type="gramStart"/>
            <w:r w:rsidR="0078758B">
              <w:rPr>
                <w:rFonts w:ascii="Lato" w:hAnsi="Lato"/>
                <w:color w:val="13A673"/>
              </w:rPr>
              <w:t>various different</w:t>
            </w:r>
            <w:proofErr w:type="gramEnd"/>
            <w:r w:rsidR="0078758B">
              <w:rPr>
                <w:rFonts w:ascii="Lato" w:hAnsi="Lato"/>
                <w:color w:val="13A673"/>
              </w:rPr>
              <w:t xml:space="preserve"> goes at this problem over at least the last decade, </w:t>
            </w:r>
            <w:r w:rsidR="00DD24B1">
              <w:rPr>
                <w:rFonts w:ascii="Lato" w:hAnsi="Lato"/>
                <w:color w:val="13A673"/>
              </w:rPr>
              <w:t>probably longer. And it hasn’t been resolved. The other point is when you’re trying to</w:t>
            </w:r>
            <w:r w:rsidR="002047E5">
              <w:rPr>
                <w:rFonts w:ascii="Lato" w:hAnsi="Lato"/>
                <w:color w:val="13A673"/>
              </w:rPr>
              <w:t xml:space="preserve"> make – when you’re then condensing ten</w:t>
            </w:r>
            <w:r w:rsidR="00D32DB5">
              <w:rPr>
                <w:rFonts w:ascii="Lato" w:hAnsi="Lato"/>
                <w:color w:val="13A673"/>
              </w:rPr>
              <w:t xml:space="preserve"> </w:t>
            </w:r>
            <w:proofErr w:type="spellStart"/>
            <w:proofErr w:type="gramStart"/>
            <w:r w:rsidR="00D32DB5">
              <w:rPr>
                <w:rFonts w:ascii="Lato" w:hAnsi="Lato"/>
                <w:color w:val="13A673"/>
              </w:rPr>
              <w:t>years</w:t>
            </w:r>
            <w:proofErr w:type="gramEnd"/>
            <w:r w:rsidR="00D32DB5">
              <w:rPr>
                <w:rFonts w:ascii="Lato" w:hAnsi="Lato"/>
                <w:color w:val="13A673"/>
              </w:rPr>
              <w:t xml:space="preserve"> worth</w:t>
            </w:r>
            <w:proofErr w:type="spellEnd"/>
            <w:r w:rsidR="00D32DB5">
              <w:rPr>
                <w:rFonts w:ascii="Lato" w:hAnsi="Lato"/>
                <w:color w:val="13A673"/>
              </w:rPr>
              <w:t xml:space="preserve"> of change into a short window, it’s very obviously </w:t>
            </w:r>
            <w:r w:rsidR="008A787D">
              <w:rPr>
                <w:rFonts w:ascii="Lato" w:hAnsi="Lato"/>
                <w:color w:val="13A673"/>
              </w:rPr>
              <w:t xml:space="preserve">not going to please everyone. And at a </w:t>
            </w:r>
            <w:proofErr w:type="gramStart"/>
            <w:r w:rsidR="008A787D">
              <w:rPr>
                <w:rFonts w:ascii="Lato" w:hAnsi="Lato"/>
                <w:color w:val="13A673"/>
              </w:rPr>
              <w:t>really high</w:t>
            </w:r>
            <w:proofErr w:type="gramEnd"/>
            <w:r w:rsidR="008A787D">
              <w:rPr>
                <w:rFonts w:ascii="Lato" w:hAnsi="Lato"/>
                <w:color w:val="13A673"/>
              </w:rPr>
              <w:t xml:space="preserve"> level there are certain technologies that are lively to </w:t>
            </w:r>
            <w:r w:rsidR="00CE72C9">
              <w:rPr>
                <w:rFonts w:ascii="Lato" w:hAnsi="Lato"/>
                <w:color w:val="13A673"/>
              </w:rPr>
              <w:t>see less losers than others. So</w:t>
            </w:r>
            <w:r w:rsidR="007C35FD">
              <w:rPr>
                <w:rFonts w:ascii="Lato" w:hAnsi="Lato"/>
                <w:color w:val="13A673"/>
              </w:rPr>
              <w:t>,</w:t>
            </w:r>
            <w:r w:rsidR="00CE72C9">
              <w:rPr>
                <w:rFonts w:ascii="Lato" w:hAnsi="Lato"/>
                <w:color w:val="13A673"/>
              </w:rPr>
              <w:t xml:space="preserve"> you know, if</w:t>
            </w:r>
            <w:r w:rsidR="007C35FD">
              <w:rPr>
                <w:rFonts w:ascii="Lato" w:hAnsi="Lato"/>
                <w:color w:val="13A673"/>
              </w:rPr>
              <w:t xml:space="preserve"> you look at the queue of projects for solar versus say batteries, it’s probably way more</w:t>
            </w:r>
            <w:r w:rsidR="00FB5425">
              <w:rPr>
                <w:rFonts w:ascii="Lato" w:hAnsi="Lato"/>
                <w:color w:val="13A673"/>
              </w:rPr>
              <w:t xml:space="preserve"> solar projects we need to be compatible with CP2030</w:t>
            </w:r>
            <w:r w:rsidR="000250F9">
              <w:rPr>
                <w:rFonts w:ascii="Lato" w:hAnsi="Lato"/>
                <w:color w:val="13A673"/>
              </w:rPr>
              <w:t xml:space="preserve"> from the existing queue than there </w:t>
            </w:r>
            <w:proofErr w:type="gramStart"/>
            <w:r w:rsidR="000250F9">
              <w:rPr>
                <w:rFonts w:ascii="Lato" w:hAnsi="Lato"/>
                <w:color w:val="13A673"/>
              </w:rPr>
              <w:t>is</w:t>
            </w:r>
            <w:proofErr w:type="gramEnd"/>
            <w:r w:rsidR="000250F9">
              <w:rPr>
                <w:rFonts w:ascii="Lato" w:hAnsi="Lato"/>
                <w:color w:val="13A673"/>
              </w:rPr>
              <w:t xml:space="preserve"> batteries. In other words, </w:t>
            </w:r>
            <w:r w:rsidR="00EF5D4F">
              <w:rPr>
                <w:rFonts w:ascii="Lato" w:hAnsi="Lato"/>
                <w:color w:val="13A673"/>
              </w:rPr>
              <w:t>there’s loads of batteries in the queue</w:t>
            </w:r>
            <w:r w:rsidR="000A75CA">
              <w:rPr>
                <w:rFonts w:ascii="Lato" w:hAnsi="Lato"/>
                <w:color w:val="13A673"/>
              </w:rPr>
              <w:t>. We don’t need all of them.</w:t>
            </w:r>
            <w:r w:rsidR="00CD354E">
              <w:rPr>
                <w:rFonts w:ascii="Lato" w:hAnsi="Lato"/>
                <w:color w:val="13A673"/>
              </w:rPr>
              <w:t xml:space="preserve"> There’s more likely to be disappointment for batteries than solar. So, it’s not been</w:t>
            </w:r>
            <w:r w:rsidR="00BB6C4C">
              <w:rPr>
                <w:rFonts w:ascii="Lato" w:hAnsi="Lato"/>
                <w:color w:val="13A673"/>
              </w:rPr>
              <w:t xml:space="preserve"> without its </w:t>
            </w:r>
            <w:proofErr w:type="gramStart"/>
            <w:r w:rsidR="00BB6C4C">
              <w:rPr>
                <w:rFonts w:ascii="Lato" w:hAnsi="Lato"/>
                <w:color w:val="13A673"/>
              </w:rPr>
              <w:t>friction</w:t>
            </w:r>
            <w:proofErr w:type="gramEnd"/>
            <w:r w:rsidR="00BB6C4C">
              <w:rPr>
                <w:rFonts w:ascii="Lato" w:hAnsi="Lato"/>
                <w:color w:val="13A673"/>
              </w:rPr>
              <w:t xml:space="preserve"> and not all parts of the industry have necessarily responded</w:t>
            </w:r>
            <w:r w:rsidR="004D6CCC">
              <w:rPr>
                <w:rFonts w:ascii="Lato" w:hAnsi="Lato"/>
                <w:color w:val="13A673"/>
              </w:rPr>
              <w:t xml:space="preserve"> with equal levels of positivity. I do think though that the sector </w:t>
            </w:r>
            <w:proofErr w:type="gramStart"/>
            <w:r w:rsidR="004D6CCC">
              <w:rPr>
                <w:rFonts w:ascii="Lato" w:hAnsi="Lato"/>
                <w:color w:val="13A673"/>
              </w:rPr>
              <w:t>as a whole</w:t>
            </w:r>
            <w:r w:rsidR="00CB4CEB">
              <w:rPr>
                <w:rFonts w:ascii="Lato" w:hAnsi="Lato"/>
                <w:color w:val="13A673"/>
              </w:rPr>
              <w:t xml:space="preserve"> is</w:t>
            </w:r>
            <w:proofErr w:type="gramEnd"/>
            <w:r w:rsidR="00CB4CEB">
              <w:rPr>
                <w:rFonts w:ascii="Lato" w:hAnsi="Lato"/>
                <w:color w:val="13A673"/>
              </w:rPr>
              <w:t xml:space="preserve"> very positive about the fact it’s now being gripped because it’s long overdue. The other thing to say is</w:t>
            </w:r>
            <w:r w:rsidR="00CD26FF">
              <w:rPr>
                <w:rFonts w:ascii="Lato" w:hAnsi="Lato"/>
                <w:color w:val="13A673"/>
              </w:rPr>
              <w:t xml:space="preserve"> this isn’t the end of planning.</w:t>
            </w:r>
          </w:p>
        </w:tc>
      </w:tr>
      <w:tr w:rsidR="00485677" w:rsidRPr="001F1767" w14:paraId="15838D87" w14:textId="77777777" w:rsidTr="001F1767">
        <w:tc>
          <w:tcPr>
            <w:tcW w:w="846" w:type="dxa"/>
          </w:tcPr>
          <w:p w14:paraId="67D5CAE6" w14:textId="51E5B63E" w:rsidR="00485677" w:rsidRDefault="00074FF6" w:rsidP="001504F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="00B966B0">
              <w:rPr>
                <w:rFonts w:ascii="Lato" w:hAnsi="Lato"/>
              </w:rPr>
              <w:t>5:48</w:t>
            </w:r>
          </w:p>
        </w:tc>
        <w:tc>
          <w:tcPr>
            <w:tcW w:w="8170" w:type="dxa"/>
          </w:tcPr>
          <w:p w14:paraId="0FD5BB6A" w14:textId="44F1749A" w:rsidR="00485677" w:rsidRPr="00485677" w:rsidRDefault="00141371" w:rsidP="001504F5">
            <w:pPr>
              <w:rPr>
                <w:rFonts w:ascii="Lato" w:hAnsi="Lato"/>
                <w:color w:val="13A673"/>
              </w:rPr>
            </w:pPr>
            <w:r>
              <w:rPr>
                <w:rFonts w:ascii="Lato" w:hAnsi="Lato"/>
                <w:color w:val="13A673"/>
              </w:rPr>
              <w:t>So, this really is the starting gun in a much more proactive</w:t>
            </w:r>
            <w:r w:rsidR="00465C68">
              <w:rPr>
                <w:rFonts w:ascii="Lato" w:hAnsi="Lato"/>
                <w:color w:val="13A673"/>
              </w:rPr>
              <w:t xml:space="preserve"> and muscular set of network plans that are being developed. So you’ve got the strategic spatial</w:t>
            </w:r>
            <w:r w:rsidR="00AD2308">
              <w:rPr>
                <w:rFonts w:ascii="Lato" w:hAnsi="Lato"/>
                <w:color w:val="13A673"/>
              </w:rPr>
              <w:t xml:space="preserve"> energy plan, which is around the transmission system</w:t>
            </w:r>
            <w:r w:rsidR="00DC3F77">
              <w:rPr>
                <w:rFonts w:ascii="Lato" w:hAnsi="Lato"/>
                <w:color w:val="13A673"/>
              </w:rPr>
              <w:t>, that’s being worked on right now</w:t>
            </w:r>
            <w:r w:rsidR="007B72D3">
              <w:rPr>
                <w:rFonts w:ascii="Lato" w:hAnsi="Lato"/>
                <w:color w:val="13A673"/>
              </w:rPr>
              <w:t xml:space="preserve"> which is all bout being much more prescriptive about where we should build wires to connect up all these large – particularly offshore</w:t>
            </w:r>
            <w:r w:rsidR="00446FFF">
              <w:rPr>
                <w:rFonts w:ascii="Lato" w:hAnsi="Lato"/>
                <w:color w:val="13A673"/>
              </w:rPr>
              <w:t xml:space="preserve"> wind projects and others, and then, at a</w:t>
            </w:r>
            <w:r w:rsidR="00787F95">
              <w:rPr>
                <w:rFonts w:ascii="Lato" w:hAnsi="Lato"/>
                <w:color w:val="13A673"/>
              </w:rPr>
              <w:t xml:space="preserve"> regional level you’ve got something called the regional</w:t>
            </w:r>
            <w:r w:rsidR="00224B73">
              <w:rPr>
                <w:rFonts w:ascii="Lato" w:hAnsi="Lato"/>
                <w:color w:val="13A673"/>
              </w:rPr>
              <w:t xml:space="preserve"> energy strategic plans (RESPs). Which is NESO</w:t>
            </w:r>
            <w:r w:rsidR="00CC60CB">
              <w:rPr>
                <w:rFonts w:ascii="Lato" w:hAnsi="Lato"/>
                <w:color w:val="13A673"/>
              </w:rPr>
              <w:t xml:space="preserve"> working in partnership with DNOs and other local stakeholders, like local authorities, to</w:t>
            </w:r>
            <w:r w:rsidR="00305481">
              <w:rPr>
                <w:rFonts w:ascii="Lato" w:hAnsi="Lato"/>
                <w:color w:val="13A673"/>
              </w:rPr>
              <w:t xml:space="preserve"> develop much more granular regional energy plans that will be more prescriptive about where we should be investing in wires</w:t>
            </w:r>
            <w:r w:rsidR="00DC6D1F">
              <w:rPr>
                <w:rFonts w:ascii="Lato" w:hAnsi="Lato"/>
                <w:color w:val="13A673"/>
              </w:rPr>
              <w:t xml:space="preserve"> and to bring on generation. </w:t>
            </w:r>
          </w:p>
        </w:tc>
      </w:tr>
      <w:tr w:rsidR="00485677" w:rsidRPr="001F1767" w14:paraId="007D1B5D" w14:textId="77777777" w:rsidTr="001F1767">
        <w:tc>
          <w:tcPr>
            <w:tcW w:w="846" w:type="dxa"/>
          </w:tcPr>
          <w:p w14:paraId="6028D7E3" w14:textId="137E99BC" w:rsidR="00485677" w:rsidRDefault="00D4369A" w:rsidP="001504F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="00F77481">
              <w:rPr>
                <w:rFonts w:ascii="Lato" w:hAnsi="Lato"/>
              </w:rPr>
              <w:t>6:</w:t>
            </w:r>
            <w:r w:rsidR="000C30DE">
              <w:rPr>
                <w:rFonts w:ascii="Lato" w:hAnsi="Lato"/>
              </w:rPr>
              <w:t>40</w:t>
            </w:r>
          </w:p>
        </w:tc>
        <w:tc>
          <w:tcPr>
            <w:tcW w:w="8170" w:type="dxa"/>
          </w:tcPr>
          <w:p w14:paraId="19EEFD6E" w14:textId="29105FEE" w:rsidR="00485677" w:rsidRPr="00914D7C" w:rsidRDefault="00DC6D1F" w:rsidP="001504F5">
            <w:pPr>
              <w:rPr>
                <w:rFonts w:ascii="Lato" w:hAnsi="Lato"/>
              </w:rPr>
            </w:pPr>
            <w:r>
              <w:rPr>
                <w:rFonts w:ascii="Lato" w:hAnsi="Lato"/>
                <w:color w:val="13A673"/>
              </w:rPr>
              <w:t>The final</w:t>
            </w:r>
            <w:r w:rsidR="00C05D43">
              <w:rPr>
                <w:rFonts w:ascii="Lato" w:hAnsi="Lato"/>
                <w:color w:val="13A673"/>
              </w:rPr>
              <w:t xml:space="preserve"> angle I would also just add is people</w:t>
            </w:r>
            <w:r w:rsidR="00333449">
              <w:rPr>
                <w:rFonts w:ascii="Lato" w:hAnsi="Lato"/>
                <w:color w:val="13A673"/>
              </w:rPr>
              <w:t xml:space="preserve"> thought generation was the start and end of this story.</w:t>
            </w:r>
            <w:r w:rsidR="00D86984">
              <w:rPr>
                <w:rFonts w:ascii="Lato" w:hAnsi="Lato"/>
                <w:color w:val="13A673"/>
              </w:rPr>
              <w:t xml:space="preserve"> In the last week Ofgem have issued a missive saying we probably need to do</w:t>
            </w:r>
            <w:r w:rsidR="00726049">
              <w:rPr>
                <w:rFonts w:ascii="Lato" w:hAnsi="Lato"/>
                <w:color w:val="13A673"/>
              </w:rPr>
              <w:t xml:space="preserve"> something about demand queues as we</w:t>
            </w:r>
            <w:r w:rsidR="00B16B50">
              <w:rPr>
                <w:rFonts w:ascii="Lato" w:hAnsi="Lato"/>
                <w:color w:val="13A673"/>
              </w:rPr>
              <w:t>ll because the new economy that we’re seeing emerging around data centres</w:t>
            </w:r>
            <w:r w:rsidR="004F474A">
              <w:rPr>
                <w:rFonts w:ascii="Lato" w:hAnsi="Lato"/>
                <w:color w:val="13A673"/>
              </w:rPr>
              <w:t xml:space="preserve"> and digital is seeing an awful lot of applications. </w:t>
            </w:r>
            <w:r w:rsidR="00914D7C">
              <w:rPr>
                <w:rFonts w:ascii="Lato" w:hAnsi="Lato"/>
              </w:rPr>
              <w:t>Oh</w:t>
            </w:r>
            <w:proofErr w:type="gramStart"/>
            <w:r w:rsidR="00914D7C">
              <w:rPr>
                <w:rFonts w:ascii="Lato" w:hAnsi="Lato"/>
              </w:rPr>
              <w:t>, by the way, the</w:t>
            </w:r>
            <w:proofErr w:type="gramEnd"/>
            <w:r w:rsidR="00914D7C">
              <w:rPr>
                <w:rFonts w:ascii="Lato" w:hAnsi="Lato"/>
              </w:rPr>
              <w:t xml:space="preserve"> original </w:t>
            </w:r>
            <w:r w:rsidR="00914D7C">
              <w:rPr>
                <w:rFonts w:ascii="Lato" w:hAnsi="Lato"/>
              </w:rPr>
              <w:lastRenderedPageBreak/>
              <w:t>plan didn’t quite anticipate demand growth from digital infrastructure</w:t>
            </w:r>
            <w:r w:rsidR="00642709">
              <w:rPr>
                <w:rFonts w:ascii="Lato" w:hAnsi="Lato"/>
              </w:rPr>
              <w:t xml:space="preserve"> that is – </w:t>
            </w:r>
            <w:r w:rsidR="00642709">
              <w:rPr>
                <w:rFonts w:ascii="Lato" w:hAnsi="Lato"/>
                <w:color w:val="13A673"/>
              </w:rPr>
              <w:t>correct.</w:t>
            </w:r>
            <w:r w:rsidR="00873DEE">
              <w:rPr>
                <w:rFonts w:ascii="Lato" w:hAnsi="Lato"/>
                <w:color w:val="13A673"/>
              </w:rPr>
              <w:t xml:space="preserve"> </w:t>
            </w:r>
            <w:r w:rsidR="00873DEE" w:rsidRPr="00873DEE">
              <w:rPr>
                <w:rFonts w:ascii="Lato" w:hAnsi="Lato"/>
              </w:rPr>
              <w:t xml:space="preserve">It’s very apparently coming through. </w:t>
            </w:r>
            <w:r w:rsidR="00873DEE">
              <w:rPr>
                <w:rFonts w:ascii="Lato" w:hAnsi="Lato"/>
                <w:color w:val="13A673"/>
              </w:rPr>
              <w:t>Correct. And that’s</w:t>
            </w:r>
            <w:r w:rsidR="008D72EF">
              <w:rPr>
                <w:rFonts w:ascii="Lato" w:hAnsi="Lato"/>
                <w:color w:val="13A673"/>
              </w:rPr>
              <w:t xml:space="preserve"> </w:t>
            </w:r>
            <w:r w:rsidR="0073268D">
              <w:rPr>
                <w:rFonts w:ascii="Lato" w:hAnsi="Lato"/>
                <w:color w:val="13A673"/>
              </w:rPr>
              <w:t>the one cautionary note</w:t>
            </w:r>
            <w:r w:rsidR="008D72EF">
              <w:rPr>
                <w:rFonts w:ascii="Lato" w:hAnsi="Lato"/>
                <w:color w:val="13A673"/>
              </w:rPr>
              <w:t xml:space="preserve"> I’d have around all this. I think more sense, more</w:t>
            </w:r>
            <w:r w:rsidR="002E77C2">
              <w:rPr>
                <w:rFonts w:ascii="Lato" w:hAnsi="Lato"/>
                <w:color w:val="13A673"/>
              </w:rPr>
              <w:t xml:space="preserve"> alignment of strategic network planning with the natural resources we have in this country and</w:t>
            </w:r>
            <w:r w:rsidR="00580736">
              <w:rPr>
                <w:rFonts w:ascii="Lato" w:hAnsi="Lato"/>
                <w:color w:val="13A673"/>
              </w:rPr>
              <w:t xml:space="preserve"> what we need to </w:t>
            </w:r>
            <w:proofErr w:type="gramStart"/>
            <w:r w:rsidR="00580736">
              <w:rPr>
                <w:rFonts w:ascii="Lato" w:hAnsi="Lato"/>
                <w:color w:val="13A673"/>
              </w:rPr>
              <w:t>connect up</w:t>
            </w:r>
            <w:proofErr w:type="gramEnd"/>
            <w:r w:rsidR="00580736">
              <w:rPr>
                <w:rFonts w:ascii="Lato" w:hAnsi="Lato"/>
                <w:color w:val="13A673"/>
              </w:rPr>
              <w:t xml:space="preserve"> is obviously a good thing. But</w:t>
            </w:r>
            <w:r w:rsidR="00103C18">
              <w:rPr>
                <w:rFonts w:ascii="Lato" w:hAnsi="Lato"/>
                <w:color w:val="13A673"/>
              </w:rPr>
              <w:t xml:space="preserve"> what we need to build into this system is agility to cope with innovations</w:t>
            </w:r>
            <w:r w:rsidR="00BF1FF2">
              <w:rPr>
                <w:rFonts w:ascii="Lato" w:hAnsi="Lato"/>
                <w:color w:val="13A673"/>
              </w:rPr>
              <w:t xml:space="preserve"> and emerging trends that happen, are likely to happen over the next 10-20 years</w:t>
            </w:r>
            <w:r w:rsidR="00261697">
              <w:rPr>
                <w:rFonts w:ascii="Lato" w:hAnsi="Lato"/>
                <w:color w:val="13A673"/>
              </w:rPr>
              <w:t xml:space="preserve"> in the same way that they’ve happened in the previous </w:t>
            </w:r>
            <w:r w:rsidR="000456B4">
              <w:rPr>
                <w:rFonts w:ascii="Lato" w:hAnsi="Lato"/>
                <w:color w:val="13A673"/>
              </w:rPr>
              <w:t>10</w:t>
            </w:r>
            <w:r w:rsidR="00261697">
              <w:rPr>
                <w:rFonts w:ascii="Lato" w:hAnsi="Lato"/>
                <w:color w:val="13A673"/>
              </w:rPr>
              <w:t xml:space="preserve"> to 20.</w:t>
            </w:r>
            <w:r w:rsidR="000456B4">
              <w:rPr>
                <w:rFonts w:ascii="Lato" w:hAnsi="Lato"/>
                <w:color w:val="13A673"/>
              </w:rPr>
              <w:t xml:space="preserve"> So more central planning – good. More transparency and </w:t>
            </w:r>
            <w:r w:rsidR="009F27BF">
              <w:rPr>
                <w:rFonts w:ascii="Lato" w:hAnsi="Lato"/>
                <w:color w:val="13A673"/>
              </w:rPr>
              <w:t>clarity – excellent, but we just need to inbuild that</w:t>
            </w:r>
            <w:r w:rsidR="0035300A">
              <w:rPr>
                <w:rFonts w:ascii="Lato" w:hAnsi="Lato"/>
                <w:color w:val="13A673"/>
              </w:rPr>
              <w:t xml:space="preserve"> </w:t>
            </w:r>
            <w:proofErr w:type="gramStart"/>
            <w:r w:rsidR="0035300A">
              <w:rPr>
                <w:rFonts w:ascii="Lato" w:hAnsi="Lato"/>
                <w:color w:val="13A673"/>
              </w:rPr>
              <w:t>agility</w:t>
            </w:r>
            <w:proofErr w:type="gramEnd"/>
            <w:r w:rsidR="0035300A">
              <w:rPr>
                <w:rFonts w:ascii="Lato" w:hAnsi="Lato"/>
                <w:color w:val="13A673"/>
              </w:rPr>
              <w:t xml:space="preserve"> so this process remains resilient for the future.</w:t>
            </w:r>
          </w:p>
        </w:tc>
      </w:tr>
      <w:tr w:rsidR="00485677" w:rsidRPr="001F1767" w14:paraId="1FDF2E05" w14:textId="77777777" w:rsidTr="001F1767">
        <w:tc>
          <w:tcPr>
            <w:tcW w:w="846" w:type="dxa"/>
          </w:tcPr>
          <w:p w14:paraId="572CAFD5" w14:textId="274F3150" w:rsidR="00485677" w:rsidRDefault="00603D78" w:rsidP="001504F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lastRenderedPageBreak/>
              <w:t>0</w:t>
            </w:r>
            <w:r w:rsidR="00AC6353">
              <w:rPr>
                <w:rFonts w:ascii="Lato" w:hAnsi="Lato"/>
              </w:rPr>
              <w:t>7:47</w:t>
            </w:r>
          </w:p>
        </w:tc>
        <w:tc>
          <w:tcPr>
            <w:tcW w:w="8170" w:type="dxa"/>
          </w:tcPr>
          <w:p w14:paraId="68625837" w14:textId="64FB6612" w:rsidR="00485677" w:rsidRDefault="0035300A" w:rsidP="00F54016">
            <w:pPr>
              <w:rPr>
                <w:rFonts w:ascii="Lato" w:hAnsi="Lato"/>
                <w:color w:val="13A673"/>
              </w:rPr>
            </w:pPr>
            <w:proofErr w:type="gramStart"/>
            <w:r w:rsidRPr="00D52F03">
              <w:rPr>
                <w:rFonts w:ascii="Lato" w:hAnsi="Lato"/>
              </w:rPr>
              <w:t>And also</w:t>
            </w:r>
            <w:proofErr w:type="gramEnd"/>
            <w:r w:rsidRPr="00D52F03">
              <w:rPr>
                <w:rFonts w:ascii="Lato" w:hAnsi="Lato"/>
              </w:rPr>
              <w:t>, I suppose what people don’</w:t>
            </w:r>
            <w:r w:rsidR="00E51FF5" w:rsidRPr="00D52F03">
              <w:rPr>
                <w:rFonts w:ascii="Lato" w:hAnsi="Lato"/>
              </w:rPr>
              <w:t xml:space="preserve">t really realise about all of this is all the </w:t>
            </w:r>
            <w:r w:rsidR="00001000" w:rsidRPr="00D52F03">
              <w:rPr>
                <w:rFonts w:ascii="Lato" w:hAnsi="Lato"/>
              </w:rPr>
              <w:t>excitement is about, returning to our topic,</w:t>
            </w:r>
            <w:r w:rsidR="008A2FEE" w:rsidRPr="00D52F03">
              <w:rPr>
                <w:rFonts w:ascii="Lato" w:hAnsi="Lato"/>
              </w:rPr>
              <w:t xml:space="preserve"> is about Gate 2. Do you get a </w:t>
            </w:r>
            <w:r w:rsidR="00D5695A" w:rsidRPr="00D52F03">
              <w:rPr>
                <w:rFonts w:ascii="Lato" w:hAnsi="Lato"/>
              </w:rPr>
              <w:t>kind of pre-2030 offer?</w:t>
            </w:r>
            <w:r w:rsidR="008205E8" w:rsidRPr="00D52F03">
              <w:rPr>
                <w:rFonts w:ascii="Lato" w:hAnsi="Lato"/>
              </w:rPr>
              <w:t xml:space="preserve"> Do you get a 2030 to 2035 offer? Or do you go back into</w:t>
            </w:r>
            <w:r w:rsidR="00D33A22" w:rsidRPr="00D52F03">
              <w:rPr>
                <w:rFonts w:ascii="Lato" w:hAnsi="Lato"/>
              </w:rPr>
              <w:t xml:space="preserve"> Gate 1 post 2035, right?</w:t>
            </w:r>
            <w:r w:rsidR="002C1ED8" w:rsidRPr="00D52F03">
              <w:rPr>
                <w:rFonts w:ascii="Lato" w:hAnsi="Lato"/>
              </w:rPr>
              <w:t xml:space="preserve"> But that only takes you to 2035.</w:t>
            </w:r>
            <w:r w:rsidR="00F500DC" w:rsidRPr="00D52F03">
              <w:rPr>
                <w:rFonts w:ascii="Lato" w:hAnsi="Lato"/>
              </w:rPr>
              <w:t xml:space="preserve"> If you think about getting to net zero, not just Clean Power 2030, </w:t>
            </w:r>
            <w:r w:rsidR="00F73C83" w:rsidRPr="00D52F03">
              <w:rPr>
                <w:rFonts w:ascii="Lato" w:hAnsi="Lato"/>
              </w:rPr>
              <w:t>you know, Clean Power 2030 gets us to something like 19%</w:t>
            </w:r>
            <w:r w:rsidR="00B10FEC" w:rsidRPr="00D52F03">
              <w:rPr>
                <w:rFonts w:ascii="Lato" w:hAnsi="Lato"/>
              </w:rPr>
              <w:t xml:space="preserve"> of total energy demand being electricity. </w:t>
            </w:r>
            <w:r w:rsidR="00484D7D" w:rsidRPr="00D52F03">
              <w:rPr>
                <w:rFonts w:ascii="Lato" w:hAnsi="Lato"/>
              </w:rPr>
              <w:t>There</w:t>
            </w:r>
            <w:r w:rsidR="00F07219" w:rsidRPr="00D52F03">
              <w:rPr>
                <w:rFonts w:ascii="Lato" w:hAnsi="Lato"/>
              </w:rPr>
              <w:t xml:space="preserve"> is another 81%</w:t>
            </w:r>
            <w:r w:rsidR="00251FAD" w:rsidRPr="00D52F03">
              <w:rPr>
                <w:rFonts w:ascii="Lato" w:hAnsi="Lato"/>
              </w:rPr>
              <w:t xml:space="preserve"> or so to go. Okay, we’re not going to get to 100%</w:t>
            </w:r>
            <w:r w:rsidR="00CF2B86" w:rsidRPr="00D52F03">
              <w:rPr>
                <w:rFonts w:ascii="Lato" w:hAnsi="Lato"/>
              </w:rPr>
              <w:t xml:space="preserve"> obviously. </w:t>
            </w:r>
            <w:proofErr w:type="gramStart"/>
            <w:r w:rsidR="00CF2B86" w:rsidRPr="00D52F03">
              <w:rPr>
                <w:rFonts w:ascii="Lato" w:hAnsi="Lato"/>
              </w:rPr>
              <w:t>So</w:t>
            </w:r>
            <w:proofErr w:type="gramEnd"/>
            <w:r w:rsidR="00CF2B86" w:rsidRPr="00D52F03">
              <w:rPr>
                <w:rFonts w:ascii="Lato" w:hAnsi="Lato"/>
              </w:rPr>
              <w:t xml:space="preserve"> this </w:t>
            </w:r>
            <w:r w:rsidR="00626C78" w:rsidRPr="00D52F03">
              <w:rPr>
                <w:rFonts w:ascii="Lato" w:hAnsi="Lato"/>
              </w:rPr>
              <w:t>–</w:t>
            </w:r>
            <w:r w:rsidR="00CF2B86" w:rsidRPr="00D52F03">
              <w:rPr>
                <w:rFonts w:ascii="Lato" w:hAnsi="Lato"/>
              </w:rPr>
              <w:t xml:space="preserve"> </w:t>
            </w:r>
            <w:r w:rsidR="00626C78" w:rsidRPr="00D52F03">
              <w:rPr>
                <w:rFonts w:ascii="Lato" w:hAnsi="Lato"/>
              </w:rPr>
              <w:t>all the excitement,</w:t>
            </w:r>
            <w:r w:rsidR="00AD6D0D" w:rsidRPr="00D52F03">
              <w:rPr>
                <w:rFonts w:ascii="Lato" w:hAnsi="Lato"/>
              </w:rPr>
              <w:t xml:space="preserve"> all the vast amounts of money that we’re talking about – yes, it’s </w:t>
            </w:r>
            <w:r w:rsidR="007175F0" w:rsidRPr="00D52F03">
              <w:rPr>
                <w:rFonts w:ascii="Lato" w:hAnsi="Lato"/>
              </w:rPr>
              <w:t>nudging, it is making a dent in it but it’s only a dent.</w:t>
            </w:r>
            <w:r w:rsidR="00543D65" w:rsidRPr="00D52F03">
              <w:rPr>
                <w:rFonts w:ascii="Lato" w:hAnsi="Lato"/>
              </w:rPr>
              <w:t xml:space="preserve"> And so, after that you need something that is fit for the future, fit for</w:t>
            </w:r>
            <w:r w:rsidR="007C413F" w:rsidRPr="00D52F03">
              <w:rPr>
                <w:rFonts w:ascii="Lato" w:hAnsi="Lato"/>
              </w:rPr>
              <w:t xml:space="preserve"> delivering many more years of something that looks not dissimilar to what we’re talking about</w:t>
            </w:r>
            <w:r w:rsidR="00D52F03" w:rsidRPr="00D52F03">
              <w:rPr>
                <w:rFonts w:ascii="Lato" w:hAnsi="Lato"/>
              </w:rPr>
              <w:t xml:space="preserve"> today.</w:t>
            </w:r>
            <w:r w:rsidR="004845FF" w:rsidRPr="00D52F03">
              <w:t xml:space="preserve"> </w:t>
            </w:r>
          </w:p>
        </w:tc>
      </w:tr>
      <w:tr w:rsidR="006102A2" w:rsidRPr="001F1767" w14:paraId="5DE5AC6A" w14:textId="77777777" w:rsidTr="001F1767">
        <w:tc>
          <w:tcPr>
            <w:tcW w:w="846" w:type="dxa"/>
          </w:tcPr>
          <w:p w14:paraId="5EAE3E66" w14:textId="1B3EE44C" w:rsidR="006102A2" w:rsidRDefault="006102A2" w:rsidP="001504F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="00D52F03">
              <w:rPr>
                <w:rFonts w:ascii="Lato" w:hAnsi="Lato"/>
              </w:rPr>
              <w:t>9:</w:t>
            </w:r>
            <w:r w:rsidR="008B5622">
              <w:rPr>
                <w:rFonts w:ascii="Lato" w:hAnsi="Lato"/>
              </w:rPr>
              <w:t>01</w:t>
            </w:r>
          </w:p>
        </w:tc>
        <w:tc>
          <w:tcPr>
            <w:tcW w:w="8170" w:type="dxa"/>
          </w:tcPr>
          <w:p w14:paraId="5D9CA7FE" w14:textId="23B24EAA" w:rsidR="006102A2" w:rsidRPr="00052929" w:rsidRDefault="00D52F03" w:rsidP="00F54016">
            <w:pPr>
              <w:rPr>
                <w:rFonts w:ascii="Lato" w:hAnsi="Lato"/>
                <w:color w:val="13A673"/>
              </w:rPr>
            </w:pPr>
            <w:r>
              <w:rPr>
                <w:rFonts w:ascii="Lato" w:hAnsi="Lato"/>
                <w:color w:val="13A673"/>
              </w:rPr>
              <w:t xml:space="preserve">That’s right. </w:t>
            </w:r>
            <w:r w:rsidR="00CE16BD">
              <w:rPr>
                <w:rFonts w:ascii="Lato" w:hAnsi="Lato"/>
                <w:color w:val="13A673"/>
              </w:rPr>
              <w:t>I mean this won’t be the last time we go through this sort of process. I think the</w:t>
            </w:r>
            <w:r w:rsidR="000E220C">
              <w:rPr>
                <w:rFonts w:ascii="Lato" w:hAnsi="Lato"/>
                <w:color w:val="13A673"/>
              </w:rPr>
              <w:t xml:space="preserve"> hope is the expectation is that we won’t be</w:t>
            </w:r>
            <w:r w:rsidR="002A03F8">
              <w:rPr>
                <w:rFonts w:ascii="Lato" w:hAnsi="Lato"/>
                <w:color w:val="13A673"/>
              </w:rPr>
              <w:t xml:space="preserve"> dealing with such a large backlog of</w:t>
            </w:r>
            <w:r w:rsidR="002B7A86">
              <w:rPr>
                <w:rFonts w:ascii="Lato" w:hAnsi="Lato"/>
                <w:color w:val="13A673"/>
              </w:rPr>
              <w:t xml:space="preserve"> applications in the queue.</w:t>
            </w:r>
            <w:r w:rsidR="0059587B">
              <w:rPr>
                <w:rFonts w:ascii="Lato" w:hAnsi="Lato"/>
                <w:color w:val="13A673"/>
              </w:rPr>
              <w:t xml:space="preserve"> But this idea of allocating network capacity based on readiness and strategic fit is definitely </w:t>
            </w:r>
            <w:r w:rsidR="005A3366">
              <w:rPr>
                <w:rFonts w:ascii="Lato" w:hAnsi="Lato"/>
                <w:color w:val="13A673"/>
              </w:rPr>
              <w:t xml:space="preserve">– </w:t>
            </w:r>
            <w:r w:rsidR="00281BB4">
              <w:rPr>
                <w:rFonts w:ascii="Lato" w:hAnsi="Lato"/>
                <w:color w:val="13A673"/>
              </w:rPr>
              <w:t>they’re</w:t>
            </w:r>
            <w:r w:rsidR="005A3366">
              <w:rPr>
                <w:rFonts w:ascii="Lato" w:hAnsi="Lato"/>
                <w:color w:val="13A673"/>
              </w:rPr>
              <w:t xml:space="preserve"> </w:t>
            </w:r>
            <w:r w:rsidR="0059587B">
              <w:rPr>
                <w:rFonts w:ascii="Lato" w:hAnsi="Lato"/>
                <w:color w:val="13A673"/>
              </w:rPr>
              <w:t>principles</w:t>
            </w:r>
            <w:r w:rsidR="00281BB4">
              <w:rPr>
                <w:rFonts w:ascii="Lato" w:hAnsi="Lato"/>
                <w:color w:val="13A673"/>
              </w:rPr>
              <w:t xml:space="preserve"> I think we’re going to rol</w:t>
            </w:r>
            <w:r w:rsidR="00136AE8">
              <w:rPr>
                <w:rFonts w:ascii="Lato" w:hAnsi="Lato"/>
                <w:color w:val="13A673"/>
              </w:rPr>
              <w:t>l</w:t>
            </w:r>
            <w:r w:rsidR="00281BB4">
              <w:rPr>
                <w:rFonts w:ascii="Lato" w:hAnsi="Lato"/>
                <w:color w:val="13A673"/>
              </w:rPr>
              <w:t xml:space="preserve"> into the future</w:t>
            </w:r>
            <w:r w:rsidR="00136AE8">
              <w:rPr>
                <w:rFonts w:ascii="Lato" w:hAnsi="Lato"/>
                <w:color w:val="13A673"/>
              </w:rPr>
              <w:t>. And to your point</w:t>
            </w:r>
            <w:r w:rsidR="00CC4BE3">
              <w:rPr>
                <w:rFonts w:ascii="Lato" w:hAnsi="Lato"/>
                <w:color w:val="13A673"/>
              </w:rPr>
              <w:t xml:space="preserve"> around sort of what’s called cross-</w:t>
            </w:r>
            <w:r w:rsidR="00D327C4">
              <w:rPr>
                <w:rFonts w:ascii="Lato" w:hAnsi="Lato"/>
                <w:color w:val="13A673"/>
              </w:rPr>
              <w:t>vector planning</w:t>
            </w:r>
            <w:r w:rsidR="00BF788E">
              <w:rPr>
                <w:rFonts w:ascii="Lato" w:hAnsi="Lato"/>
                <w:color w:val="13A673"/>
              </w:rPr>
              <w:t xml:space="preserve"> between power, gas</w:t>
            </w:r>
            <w:r w:rsidR="003643E7">
              <w:rPr>
                <w:rFonts w:ascii="Lato" w:hAnsi="Lato"/>
                <w:color w:val="13A673"/>
              </w:rPr>
              <w:t>, industry, transport</w:t>
            </w:r>
            <w:r w:rsidR="00961226">
              <w:rPr>
                <w:rFonts w:ascii="Lato" w:hAnsi="Lato"/>
                <w:color w:val="13A673"/>
              </w:rPr>
              <w:t>. That really is at the heart of the RESP</w:t>
            </w:r>
            <w:r w:rsidR="0070710F">
              <w:rPr>
                <w:rFonts w:ascii="Lato" w:hAnsi="Lato"/>
                <w:color w:val="13A673"/>
              </w:rPr>
              <w:t>s</w:t>
            </w:r>
            <w:r w:rsidR="00961226">
              <w:rPr>
                <w:rFonts w:ascii="Lato" w:hAnsi="Lato"/>
                <w:color w:val="13A673"/>
              </w:rPr>
              <w:t xml:space="preserve"> – the regional</w:t>
            </w:r>
            <w:r w:rsidR="0070710F">
              <w:rPr>
                <w:rFonts w:ascii="Lato" w:hAnsi="Lato"/>
                <w:color w:val="13A673"/>
              </w:rPr>
              <w:t xml:space="preserve"> energy strategic plans that I was talking about</w:t>
            </w:r>
            <w:r w:rsidR="00A17631">
              <w:rPr>
                <w:rFonts w:ascii="Lato" w:hAnsi="Lato"/>
                <w:color w:val="13A673"/>
              </w:rPr>
              <w:t xml:space="preserve">. The idea there </w:t>
            </w:r>
            <w:r w:rsidR="00EC6AD9">
              <w:rPr>
                <w:rFonts w:ascii="Lato" w:hAnsi="Lato"/>
                <w:color w:val="13A673"/>
              </w:rPr>
              <w:t xml:space="preserve">is that you consider power as part of an integrated energy ecosystem at a </w:t>
            </w:r>
            <w:proofErr w:type="gramStart"/>
            <w:r w:rsidR="00EC6AD9">
              <w:rPr>
                <w:rFonts w:ascii="Lato" w:hAnsi="Lato"/>
                <w:color w:val="13A673"/>
              </w:rPr>
              <w:t>really granular</w:t>
            </w:r>
            <w:proofErr w:type="gramEnd"/>
            <w:r w:rsidR="00EC6AD9">
              <w:rPr>
                <w:rFonts w:ascii="Lato" w:hAnsi="Lato"/>
                <w:color w:val="13A673"/>
              </w:rPr>
              <w:t xml:space="preserve"> level regionally. So, I mean, these are</w:t>
            </w:r>
            <w:r w:rsidR="005C519E">
              <w:rPr>
                <w:rFonts w:ascii="Lato" w:hAnsi="Lato"/>
                <w:color w:val="13A673"/>
              </w:rPr>
              <w:t xml:space="preserve"> fundamental shifts, very meaningful shifts</w:t>
            </w:r>
            <w:r w:rsidR="00C66E4C">
              <w:rPr>
                <w:rFonts w:ascii="Lato" w:hAnsi="Lato"/>
                <w:color w:val="13A673"/>
              </w:rPr>
              <w:t xml:space="preserve"> in the way we’ve gone about</w:t>
            </w:r>
            <w:r w:rsidR="003B6659">
              <w:rPr>
                <w:rFonts w:ascii="Lato" w:hAnsi="Lato"/>
                <w:color w:val="13A673"/>
              </w:rPr>
              <w:t xml:space="preserve"> thinking about networks. Previously it’s been</w:t>
            </w:r>
            <w:r w:rsidR="001F5E0E">
              <w:rPr>
                <w:rFonts w:ascii="Lato" w:hAnsi="Lato"/>
                <w:color w:val="13A673"/>
              </w:rPr>
              <w:t xml:space="preserve"> sort of connect and manage, even though</w:t>
            </w:r>
            <w:r w:rsidR="00961226">
              <w:rPr>
                <w:rFonts w:ascii="Lato" w:hAnsi="Lato"/>
                <w:color w:val="13A673"/>
              </w:rPr>
              <w:t xml:space="preserve"> </w:t>
            </w:r>
            <w:r w:rsidR="001F5E0E">
              <w:rPr>
                <w:rFonts w:ascii="Lato" w:hAnsi="Lato"/>
                <w:color w:val="13A673"/>
              </w:rPr>
              <w:t xml:space="preserve">we haven’t done that perfectly. </w:t>
            </w:r>
            <w:r w:rsidR="00637775">
              <w:rPr>
                <w:rFonts w:ascii="Lato" w:hAnsi="Lato"/>
                <w:color w:val="13A673"/>
              </w:rPr>
              <w:t>You build a wind farm</w:t>
            </w:r>
            <w:r w:rsidR="00195EFE">
              <w:rPr>
                <w:rFonts w:ascii="Lato" w:hAnsi="Lato"/>
                <w:color w:val="13A673"/>
              </w:rPr>
              <w:t>, we’ll work out a way of connecting you and if we can’t</w:t>
            </w:r>
            <w:r w:rsidR="00BD0F2D">
              <w:rPr>
                <w:rFonts w:ascii="Lato" w:hAnsi="Lato"/>
                <w:color w:val="13A673"/>
              </w:rPr>
              <w:t>, we might constrain you a bit, which was fine when we weren’t trying to deliver another</w:t>
            </w:r>
            <w:r w:rsidR="004F7DBF">
              <w:rPr>
                <w:rFonts w:ascii="Lato" w:hAnsi="Lato"/>
                <w:color w:val="13A673"/>
              </w:rPr>
              <w:t xml:space="preserve"> 50-60 gigawatts of green power.</w:t>
            </w:r>
            <w:r w:rsidR="0064596F">
              <w:rPr>
                <w:rFonts w:ascii="Lato" w:hAnsi="Lato"/>
                <w:color w:val="13A673"/>
              </w:rPr>
              <w:t xml:space="preserve"> It's clearly not going to work in the new environment. </w:t>
            </w:r>
            <w:proofErr w:type="gramStart"/>
            <w:r w:rsidR="0064596F">
              <w:rPr>
                <w:rFonts w:ascii="Lato" w:hAnsi="Lato"/>
                <w:color w:val="13A673"/>
              </w:rPr>
              <w:t>So</w:t>
            </w:r>
            <w:proofErr w:type="gramEnd"/>
            <w:r w:rsidR="0064596F">
              <w:rPr>
                <w:rFonts w:ascii="Lato" w:hAnsi="Lato"/>
                <w:color w:val="13A673"/>
              </w:rPr>
              <w:t xml:space="preserve"> I think</w:t>
            </w:r>
            <w:r w:rsidR="005F08DF">
              <w:rPr>
                <w:rFonts w:ascii="Lato" w:hAnsi="Lato"/>
                <w:color w:val="13A673"/>
              </w:rPr>
              <w:t xml:space="preserve"> it’s been a good learning process going through the current process of allocating Gate 1, Gate 2 offers</w:t>
            </w:r>
            <w:r w:rsidR="0008181F">
              <w:rPr>
                <w:rFonts w:ascii="Lato" w:hAnsi="Lato"/>
                <w:color w:val="13A673"/>
              </w:rPr>
              <w:t>, because it’s introduced new concepts and new ways of</w:t>
            </w:r>
            <w:r w:rsidR="005F2407">
              <w:rPr>
                <w:rFonts w:ascii="Lato" w:hAnsi="Lato"/>
                <w:color w:val="13A673"/>
              </w:rPr>
              <w:t xml:space="preserve"> working into how we allocate network which are going to be needed in the future, for sure.</w:t>
            </w:r>
          </w:p>
        </w:tc>
      </w:tr>
      <w:tr w:rsidR="00010326" w:rsidRPr="001F1767" w14:paraId="1681B4F5" w14:textId="77777777" w:rsidTr="001F1767">
        <w:tc>
          <w:tcPr>
            <w:tcW w:w="846" w:type="dxa"/>
          </w:tcPr>
          <w:p w14:paraId="4DCDFC19" w14:textId="7AB7D601" w:rsidR="00010326" w:rsidRDefault="00010326" w:rsidP="001504F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10:</w:t>
            </w:r>
            <w:r w:rsidR="004017F1">
              <w:rPr>
                <w:rFonts w:ascii="Lato" w:hAnsi="Lato"/>
              </w:rPr>
              <w:t>22</w:t>
            </w:r>
          </w:p>
        </w:tc>
        <w:tc>
          <w:tcPr>
            <w:tcW w:w="8170" w:type="dxa"/>
          </w:tcPr>
          <w:p w14:paraId="724D31F0" w14:textId="3570795C" w:rsidR="00010326" w:rsidRDefault="00010326" w:rsidP="00F54016">
            <w:pPr>
              <w:rPr>
                <w:rFonts w:ascii="Lato" w:hAnsi="Lato"/>
                <w:color w:val="13A673"/>
              </w:rPr>
            </w:pPr>
            <w:r w:rsidRPr="00010326">
              <w:rPr>
                <w:rFonts w:ascii="Lato" w:hAnsi="Lato"/>
              </w:rPr>
              <w:t>So that’s all the background</w:t>
            </w:r>
            <w:r w:rsidR="00CF212A">
              <w:rPr>
                <w:rFonts w:ascii="Lato" w:hAnsi="Lato"/>
              </w:rPr>
              <w:t xml:space="preserve"> to it, right, which is </w:t>
            </w:r>
            <w:proofErr w:type="gramStart"/>
            <w:r w:rsidR="00CF212A">
              <w:rPr>
                <w:rFonts w:ascii="Lato" w:hAnsi="Lato"/>
              </w:rPr>
              <w:t xml:space="preserve">absolutely </w:t>
            </w:r>
            <w:r w:rsidR="000A7860">
              <w:rPr>
                <w:rFonts w:ascii="Lato" w:hAnsi="Lato"/>
              </w:rPr>
              <w:t>fascinating</w:t>
            </w:r>
            <w:proofErr w:type="gramEnd"/>
            <w:r w:rsidR="000A7860">
              <w:rPr>
                <w:rFonts w:ascii="Lato" w:hAnsi="Lato"/>
              </w:rPr>
              <w:t xml:space="preserve"> and critical for everything going forward. </w:t>
            </w:r>
            <w:r w:rsidR="00F5664D">
              <w:rPr>
                <w:rFonts w:ascii="Lato" w:hAnsi="Lato"/>
              </w:rPr>
              <w:t>Coming back then to our original question, t</w:t>
            </w:r>
            <w:r w:rsidR="0035579E">
              <w:rPr>
                <w:rFonts w:ascii="Lato" w:hAnsi="Lato"/>
              </w:rPr>
              <w:t xml:space="preserve">en </w:t>
            </w:r>
            <w:proofErr w:type="spellStart"/>
            <w:proofErr w:type="gramStart"/>
            <w:r w:rsidR="0035579E">
              <w:rPr>
                <w:rFonts w:ascii="Lato" w:hAnsi="Lato"/>
              </w:rPr>
              <w:t>years</w:t>
            </w:r>
            <w:proofErr w:type="gramEnd"/>
            <w:r w:rsidR="0035579E">
              <w:rPr>
                <w:rFonts w:ascii="Lato" w:hAnsi="Lato"/>
              </w:rPr>
              <w:t xml:space="preserve"> worth</w:t>
            </w:r>
            <w:proofErr w:type="spellEnd"/>
            <w:r w:rsidR="0035579E">
              <w:rPr>
                <w:rFonts w:ascii="Lato" w:hAnsi="Lato"/>
              </w:rPr>
              <w:t xml:space="preserve"> of</w:t>
            </w:r>
            <w:r w:rsidR="000D4716">
              <w:rPr>
                <w:rFonts w:ascii="Lato" w:hAnsi="Lato"/>
              </w:rPr>
              <w:t xml:space="preserve"> connection gets released in, you know, maybe a </w:t>
            </w:r>
            <w:r w:rsidR="00365A30">
              <w:rPr>
                <w:rFonts w:ascii="Lato" w:hAnsi="Lato"/>
              </w:rPr>
              <w:t>week in early December.</w:t>
            </w:r>
            <w:r w:rsidR="0029602A">
              <w:rPr>
                <w:rFonts w:ascii="Lato" w:hAnsi="Lato"/>
              </w:rPr>
              <w:t xml:space="preserve"> And then, in the space of</w:t>
            </w:r>
            <w:r w:rsidR="00161C5B">
              <w:rPr>
                <w:rFonts w:ascii="Lato" w:hAnsi="Lato"/>
              </w:rPr>
              <w:t xml:space="preserve"> Q1/Q2 next year, all the detailed offers come out. What</w:t>
            </w:r>
            <w:r w:rsidR="002E4BBE">
              <w:rPr>
                <w:rFonts w:ascii="Lato" w:hAnsi="Lato"/>
              </w:rPr>
              <w:t xml:space="preserve"> kind of impact do you think that’s going </w:t>
            </w:r>
            <w:r w:rsidR="002E4BBE">
              <w:rPr>
                <w:rFonts w:ascii="Lato" w:hAnsi="Lato"/>
              </w:rPr>
              <w:lastRenderedPageBreak/>
              <w:t xml:space="preserve">to have </w:t>
            </w:r>
            <w:r w:rsidR="006A29A0">
              <w:rPr>
                <w:rFonts w:ascii="Lato" w:hAnsi="Lato"/>
              </w:rPr>
              <w:t>on the broader market and this is, just – I mean, this is something that’s never happened before</w:t>
            </w:r>
            <w:r w:rsidR="002756EF">
              <w:rPr>
                <w:rFonts w:ascii="Lato" w:hAnsi="Lato"/>
              </w:rPr>
              <w:t>, right?</w:t>
            </w:r>
          </w:p>
        </w:tc>
      </w:tr>
      <w:tr w:rsidR="00AC611B" w:rsidRPr="001F1767" w14:paraId="2BE6D278" w14:textId="77777777" w:rsidTr="001F1767">
        <w:tc>
          <w:tcPr>
            <w:tcW w:w="846" w:type="dxa"/>
          </w:tcPr>
          <w:p w14:paraId="101E54B8" w14:textId="2B51E021" w:rsidR="00AC611B" w:rsidRDefault="00B36C2A" w:rsidP="001504F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lastRenderedPageBreak/>
              <w:t>1</w:t>
            </w:r>
            <w:r w:rsidR="004017F1">
              <w:rPr>
                <w:rFonts w:ascii="Lato" w:hAnsi="Lato"/>
              </w:rPr>
              <w:t>0:58</w:t>
            </w:r>
          </w:p>
        </w:tc>
        <w:tc>
          <w:tcPr>
            <w:tcW w:w="8170" w:type="dxa"/>
          </w:tcPr>
          <w:p w14:paraId="76A4D0AF" w14:textId="49A62D53" w:rsidR="00AC611B" w:rsidRPr="00010326" w:rsidRDefault="00B36C2A" w:rsidP="00F54016">
            <w:pPr>
              <w:rPr>
                <w:rFonts w:ascii="Lato" w:hAnsi="Lato"/>
              </w:rPr>
            </w:pPr>
            <w:r>
              <w:rPr>
                <w:rFonts w:ascii="Lato" w:hAnsi="Lato"/>
                <w:color w:val="13A673"/>
              </w:rPr>
              <w:t>Never happened.</w:t>
            </w:r>
            <w:r w:rsidR="003D27C1">
              <w:rPr>
                <w:rFonts w:ascii="Lato" w:hAnsi="Lato"/>
                <w:color w:val="13A673"/>
              </w:rPr>
              <w:t xml:space="preserve"> I think, you know, when you see instances like this you can liken</w:t>
            </w:r>
            <w:r w:rsidR="000A2207">
              <w:rPr>
                <w:rFonts w:ascii="Lato" w:hAnsi="Lato"/>
                <w:color w:val="13A673"/>
              </w:rPr>
              <w:t xml:space="preserve"> it to a </w:t>
            </w:r>
            <w:proofErr w:type="spellStart"/>
            <w:r w:rsidR="000A2207">
              <w:rPr>
                <w:rFonts w:ascii="Lato" w:hAnsi="Lato"/>
                <w:color w:val="13A673"/>
              </w:rPr>
              <w:t>CfD</w:t>
            </w:r>
            <w:proofErr w:type="spellEnd"/>
            <w:r w:rsidR="000A2207">
              <w:rPr>
                <w:rFonts w:ascii="Lato" w:hAnsi="Lato"/>
                <w:color w:val="13A673"/>
              </w:rPr>
              <w:t xml:space="preserve"> auction. There’s going to be a bunch of financing activity that will take place</w:t>
            </w:r>
            <w:r w:rsidR="00C60A63">
              <w:rPr>
                <w:rFonts w:ascii="Lato" w:hAnsi="Lato"/>
                <w:color w:val="13A673"/>
              </w:rPr>
              <w:t xml:space="preserve"> off the back of particularly Gate 2. Offers being issued, developers who</w:t>
            </w:r>
            <w:r w:rsidR="00815E94">
              <w:rPr>
                <w:rFonts w:ascii="Lato" w:hAnsi="Lato"/>
                <w:color w:val="13A673"/>
              </w:rPr>
              <w:t xml:space="preserve"> are probably predicating their plans on whether to sell or</w:t>
            </w:r>
            <w:r w:rsidR="003F2751">
              <w:rPr>
                <w:rFonts w:ascii="Lato" w:hAnsi="Lato"/>
                <w:color w:val="13A673"/>
              </w:rPr>
              <w:t xml:space="preserve"> hold those assets will, to a large part, depend on where they end up. </w:t>
            </w:r>
            <w:proofErr w:type="gramStart"/>
            <w:r w:rsidR="003F2751">
              <w:rPr>
                <w:rFonts w:ascii="Lato" w:hAnsi="Lato"/>
                <w:color w:val="13A673"/>
              </w:rPr>
              <w:t>So</w:t>
            </w:r>
            <w:proofErr w:type="gramEnd"/>
            <w:r w:rsidR="003F2751">
              <w:rPr>
                <w:rFonts w:ascii="Lato" w:hAnsi="Lato"/>
                <w:color w:val="13A673"/>
              </w:rPr>
              <w:t xml:space="preserve"> we’ll see a lot of financing activity</w:t>
            </w:r>
            <w:r w:rsidR="009671E3">
              <w:rPr>
                <w:rFonts w:ascii="Lato" w:hAnsi="Lato"/>
                <w:color w:val="13A673"/>
              </w:rPr>
              <w:t xml:space="preserve"> which is good. We should also</w:t>
            </w:r>
            <w:r w:rsidR="00853612">
              <w:rPr>
                <w:rFonts w:ascii="Lato" w:hAnsi="Lato"/>
                <w:color w:val="13A673"/>
              </w:rPr>
              <w:t xml:space="preserve"> see a lot more certainty around physical delivery of </w:t>
            </w:r>
            <w:proofErr w:type="gramStart"/>
            <w:r w:rsidR="00853612">
              <w:rPr>
                <w:rFonts w:ascii="Lato" w:hAnsi="Lato"/>
                <w:color w:val="13A673"/>
              </w:rPr>
              <w:t>fairly granular</w:t>
            </w:r>
            <w:proofErr w:type="gramEnd"/>
            <w:r w:rsidR="00853612">
              <w:rPr>
                <w:rFonts w:ascii="Lato" w:hAnsi="Lato"/>
                <w:color w:val="13A673"/>
              </w:rPr>
              <w:t xml:space="preserve"> assets onto the network which will help planning. And that will</w:t>
            </w:r>
            <w:r w:rsidR="0094770C">
              <w:rPr>
                <w:rFonts w:ascii="Lato" w:hAnsi="Lato"/>
                <w:color w:val="13A673"/>
              </w:rPr>
              <w:t xml:space="preserve"> play </w:t>
            </w:r>
            <w:proofErr w:type="gramStart"/>
            <w:r w:rsidR="0094770C">
              <w:rPr>
                <w:rFonts w:ascii="Lato" w:hAnsi="Lato"/>
                <w:color w:val="13A673"/>
              </w:rPr>
              <w:t>really well</w:t>
            </w:r>
            <w:proofErr w:type="gramEnd"/>
            <w:r w:rsidR="0094770C">
              <w:rPr>
                <w:rFonts w:ascii="Lato" w:hAnsi="Lato"/>
                <w:color w:val="13A673"/>
              </w:rPr>
              <w:t xml:space="preserve"> into price controls and network companies are going through </w:t>
            </w:r>
            <w:proofErr w:type="gramStart"/>
            <w:r w:rsidR="00FA5EAE">
              <w:rPr>
                <w:rFonts w:ascii="Lato" w:hAnsi="Lato"/>
                <w:color w:val="13A673"/>
              </w:rPr>
              <w:t>at the moment</w:t>
            </w:r>
            <w:proofErr w:type="gramEnd"/>
            <w:r w:rsidR="00FA5EAE">
              <w:rPr>
                <w:rFonts w:ascii="Lato" w:hAnsi="Lato"/>
                <w:color w:val="13A673"/>
              </w:rPr>
              <w:t xml:space="preserve">. </w:t>
            </w:r>
            <w:proofErr w:type="gramStart"/>
            <w:r w:rsidR="00FA5EAE">
              <w:rPr>
                <w:rFonts w:ascii="Lato" w:hAnsi="Lato"/>
                <w:color w:val="13A673"/>
              </w:rPr>
              <w:t>So</w:t>
            </w:r>
            <w:proofErr w:type="gramEnd"/>
            <w:r w:rsidR="00FA5EAE">
              <w:rPr>
                <w:rFonts w:ascii="Lato" w:hAnsi="Lato"/>
                <w:color w:val="13A673"/>
              </w:rPr>
              <w:t xml:space="preserve"> we should see</w:t>
            </w:r>
            <w:r w:rsidR="00B30413">
              <w:rPr>
                <w:rFonts w:ascii="Lato" w:hAnsi="Lato"/>
                <w:color w:val="13A673"/>
              </w:rPr>
              <w:t xml:space="preserve"> more value for money in terms of investment in networks off the back of this</w:t>
            </w:r>
            <w:r w:rsidR="002B2333">
              <w:rPr>
                <w:rFonts w:ascii="Lato" w:hAnsi="Lato"/>
                <w:color w:val="13A673"/>
              </w:rPr>
              <w:t xml:space="preserve"> too. I would</w:t>
            </w:r>
            <w:r w:rsidR="008A52FC">
              <w:rPr>
                <w:rFonts w:ascii="Lato" w:hAnsi="Lato"/>
                <w:color w:val="13A673"/>
              </w:rPr>
              <w:t>, however, just make the point</w:t>
            </w:r>
            <w:r w:rsidR="00AE3B18">
              <w:rPr>
                <w:rFonts w:ascii="Lato" w:hAnsi="Lato"/>
                <w:color w:val="13A673"/>
              </w:rPr>
              <w:t xml:space="preserve">, I mean I’ve been involved in the sector for a long </w:t>
            </w:r>
            <w:proofErr w:type="gramStart"/>
            <w:r w:rsidR="00AE3B18">
              <w:rPr>
                <w:rFonts w:ascii="Lato" w:hAnsi="Lato"/>
                <w:color w:val="13A673"/>
              </w:rPr>
              <w:t>time</w:t>
            </w:r>
            <w:proofErr w:type="gramEnd"/>
            <w:r w:rsidR="00AE3B18">
              <w:rPr>
                <w:rFonts w:ascii="Lato" w:hAnsi="Lato"/>
                <w:color w:val="13A673"/>
              </w:rPr>
              <w:t xml:space="preserve"> and I have live conversations</w:t>
            </w:r>
            <w:r w:rsidR="00A068D3">
              <w:rPr>
                <w:rFonts w:ascii="Lato" w:hAnsi="Lato"/>
                <w:color w:val="13A673"/>
              </w:rPr>
              <w:t xml:space="preserve"> with people, and a connection offer is one thing.</w:t>
            </w:r>
            <w:r w:rsidR="00E9306C">
              <w:rPr>
                <w:rFonts w:ascii="Lato" w:hAnsi="Lato"/>
                <w:color w:val="13A673"/>
              </w:rPr>
              <w:t xml:space="preserve"> But the network companies </w:t>
            </w:r>
            <w:proofErr w:type="gramStart"/>
            <w:r w:rsidR="00E9306C">
              <w:rPr>
                <w:rFonts w:ascii="Lato" w:hAnsi="Lato"/>
                <w:color w:val="13A673"/>
              </w:rPr>
              <w:t>actually delivering</w:t>
            </w:r>
            <w:proofErr w:type="gramEnd"/>
            <w:r w:rsidR="00E9306C">
              <w:rPr>
                <w:rFonts w:ascii="Lato" w:hAnsi="Lato"/>
                <w:color w:val="13A673"/>
              </w:rPr>
              <w:t xml:space="preserve"> the connection in line with that offer is something else</w:t>
            </w:r>
            <w:r w:rsidR="00AA16FD">
              <w:rPr>
                <w:rFonts w:ascii="Lato" w:hAnsi="Lato"/>
                <w:color w:val="13A673"/>
              </w:rPr>
              <w:t>.</w:t>
            </w:r>
            <w:r w:rsidR="001F63A4">
              <w:rPr>
                <w:rFonts w:ascii="Lato" w:hAnsi="Lato"/>
                <w:color w:val="13A673"/>
              </w:rPr>
              <w:t xml:space="preserve"> And yes, it’s great if you</w:t>
            </w:r>
            <w:r w:rsidR="00C94351">
              <w:rPr>
                <w:rFonts w:ascii="Lato" w:hAnsi="Lato"/>
                <w:color w:val="13A673"/>
              </w:rPr>
              <w:t xml:space="preserve"> have a date on a piece of paper with the capacity alongside it. It allows you to do some of the things I’ve</w:t>
            </w:r>
            <w:r w:rsidR="00C71F99">
              <w:rPr>
                <w:rFonts w:ascii="Lato" w:hAnsi="Lato"/>
                <w:color w:val="13A673"/>
              </w:rPr>
              <w:t xml:space="preserve"> just alluded to</w:t>
            </w:r>
            <w:r w:rsidR="00531DE0">
              <w:rPr>
                <w:rFonts w:ascii="Lato" w:hAnsi="Lato"/>
                <w:color w:val="13A673"/>
              </w:rPr>
              <w:t xml:space="preserve"> – go out and raise finance or sell your project</w:t>
            </w:r>
            <w:r w:rsidR="004760F9">
              <w:rPr>
                <w:rFonts w:ascii="Lato" w:hAnsi="Lato"/>
                <w:color w:val="13A673"/>
              </w:rPr>
              <w:t>. But I think we really do need to raise the standards</w:t>
            </w:r>
            <w:r w:rsidR="00C43B0D">
              <w:rPr>
                <w:rFonts w:ascii="Lato" w:hAnsi="Lato"/>
                <w:color w:val="13A673"/>
              </w:rPr>
              <w:t xml:space="preserve"> of delivery at a network company level to make sure that those connection offers</w:t>
            </w:r>
            <w:r w:rsidR="00FA0883">
              <w:rPr>
                <w:rFonts w:ascii="Lato" w:hAnsi="Lato"/>
                <w:color w:val="13A673"/>
              </w:rPr>
              <w:t xml:space="preserve"> are </w:t>
            </w:r>
            <w:proofErr w:type="gramStart"/>
            <w:r w:rsidR="00FA0883">
              <w:rPr>
                <w:rFonts w:ascii="Lato" w:hAnsi="Lato"/>
                <w:color w:val="13A673"/>
              </w:rPr>
              <w:t>actually honoured</w:t>
            </w:r>
            <w:proofErr w:type="gramEnd"/>
            <w:r w:rsidR="00FA0883">
              <w:rPr>
                <w:rFonts w:ascii="Lato" w:hAnsi="Lato"/>
                <w:color w:val="13A673"/>
              </w:rPr>
              <w:t xml:space="preserve">. It doesn’t </w:t>
            </w:r>
            <w:r w:rsidR="002A6149">
              <w:rPr>
                <w:rFonts w:ascii="Lato" w:hAnsi="Lato"/>
                <w:color w:val="13A673"/>
              </w:rPr>
              <w:t xml:space="preserve">happen extensively but there are several instances where there’s been </w:t>
            </w:r>
            <w:proofErr w:type="gramStart"/>
            <w:r w:rsidR="002A6149">
              <w:rPr>
                <w:rFonts w:ascii="Lato" w:hAnsi="Lato"/>
                <w:color w:val="13A673"/>
              </w:rPr>
              <w:t>fairly</w:t>
            </w:r>
            <w:r w:rsidR="00E5214A">
              <w:rPr>
                <w:rFonts w:ascii="Lato" w:hAnsi="Lato"/>
                <w:color w:val="13A673"/>
              </w:rPr>
              <w:t xml:space="preserve"> cataclysmic</w:t>
            </w:r>
            <w:proofErr w:type="gramEnd"/>
            <w:r w:rsidR="00E5214A">
              <w:rPr>
                <w:rFonts w:ascii="Lato" w:hAnsi="Lato"/>
                <w:color w:val="13A673"/>
              </w:rPr>
              <w:t xml:space="preserve"> failures of delivery and the </w:t>
            </w:r>
            <w:proofErr w:type="gramStart"/>
            <w:r w:rsidR="00E5214A">
              <w:rPr>
                <w:rFonts w:ascii="Lato" w:hAnsi="Lato"/>
                <w:color w:val="13A673"/>
              </w:rPr>
              <w:t>real world</w:t>
            </w:r>
            <w:proofErr w:type="gramEnd"/>
            <w:r w:rsidR="00E5214A">
              <w:rPr>
                <w:rFonts w:ascii="Lato" w:hAnsi="Lato"/>
                <w:color w:val="13A673"/>
              </w:rPr>
              <w:t xml:space="preserve"> implications of that for investors are profound.</w:t>
            </w:r>
            <w:r w:rsidR="001E4AAC">
              <w:rPr>
                <w:rFonts w:ascii="Lato" w:hAnsi="Lato"/>
                <w:color w:val="13A673"/>
              </w:rPr>
              <w:t xml:space="preserve"> You can’t get your project to market, can’t sell</w:t>
            </w:r>
            <w:r w:rsidR="0053463C">
              <w:rPr>
                <w:rFonts w:ascii="Lato" w:hAnsi="Lato"/>
                <w:color w:val="13A673"/>
              </w:rPr>
              <w:t xml:space="preserve"> your power, can’t make a return. </w:t>
            </w:r>
            <w:proofErr w:type="gramStart"/>
            <w:r w:rsidR="0053463C">
              <w:rPr>
                <w:rFonts w:ascii="Lato" w:hAnsi="Lato"/>
                <w:color w:val="13A673"/>
              </w:rPr>
              <w:t>So</w:t>
            </w:r>
            <w:proofErr w:type="gramEnd"/>
            <w:r w:rsidR="0053463C">
              <w:rPr>
                <w:rFonts w:ascii="Lato" w:hAnsi="Lato"/>
                <w:color w:val="13A673"/>
              </w:rPr>
              <w:t xml:space="preserve"> the onus now it’s going to transition</w:t>
            </w:r>
            <w:r w:rsidR="00143437">
              <w:rPr>
                <w:rFonts w:ascii="Lato" w:hAnsi="Lato"/>
                <w:color w:val="13A673"/>
              </w:rPr>
              <w:t xml:space="preserve"> from being around an administrative exercise to allocate</w:t>
            </w:r>
            <w:r w:rsidR="009970B0">
              <w:rPr>
                <w:rFonts w:ascii="Lato" w:hAnsi="Lato"/>
                <w:color w:val="13A673"/>
              </w:rPr>
              <w:t xml:space="preserve"> capacity, to a physical exercise to deliver it. And that is</w:t>
            </w:r>
            <w:r w:rsidR="00787A6E">
              <w:rPr>
                <w:rFonts w:ascii="Lato" w:hAnsi="Lato"/>
                <w:color w:val="13A673"/>
              </w:rPr>
              <w:t xml:space="preserve"> no mean feat in terms of supply chain, in terms of skills and expertise</w:t>
            </w:r>
            <w:r w:rsidR="00DD76AA">
              <w:rPr>
                <w:rFonts w:ascii="Lato" w:hAnsi="Lato"/>
                <w:color w:val="13A673"/>
              </w:rPr>
              <w:t xml:space="preserve"> on the ground, the engineering expertise, to get this done. It’s going to be</w:t>
            </w:r>
            <w:r w:rsidR="009E37C3">
              <w:rPr>
                <w:rFonts w:ascii="Lato" w:hAnsi="Lato"/>
                <w:color w:val="13A673"/>
              </w:rPr>
              <w:t xml:space="preserve"> fascinating to see how that plays out.</w:t>
            </w:r>
            <w:r w:rsidR="00273539">
              <w:rPr>
                <w:rFonts w:ascii="Lato" w:hAnsi="Lato"/>
                <w:color w:val="13A673"/>
              </w:rPr>
              <w:t xml:space="preserve"> </w:t>
            </w:r>
          </w:p>
        </w:tc>
      </w:tr>
      <w:tr w:rsidR="009E37C3" w:rsidRPr="001F1767" w14:paraId="52946527" w14:textId="77777777" w:rsidTr="001F1767">
        <w:tc>
          <w:tcPr>
            <w:tcW w:w="846" w:type="dxa"/>
          </w:tcPr>
          <w:p w14:paraId="34EDEB40" w14:textId="7CFA2044" w:rsidR="009E37C3" w:rsidRDefault="009E37C3" w:rsidP="001504F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13:</w:t>
            </w:r>
            <w:r w:rsidR="008125CD">
              <w:rPr>
                <w:rFonts w:ascii="Lato" w:hAnsi="Lato"/>
              </w:rPr>
              <w:t>02</w:t>
            </w:r>
          </w:p>
        </w:tc>
        <w:tc>
          <w:tcPr>
            <w:tcW w:w="8170" w:type="dxa"/>
          </w:tcPr>
          <w:p w14:paraId="2666D8B5" w14:textId="40F5E82C" w:rsidR="009E37C3" w:rsidRDefault="009E37C3" w:rsidP="00F54016">
            <w:pPr>
              <w:rPr>
                <w:rFonts w:ascii="Lato" w:hAnsi="Lato"/>
                <w:color w:val="13A673"/>
              </w:rPr>
            </w:pPr>
            <w:r w:rsidRPr="009E37C3">
              <w:rPr>
                <w:rFonts w:ascii="Lato" w:hAnsi="Lato"/>
              </w:rPr>
              <w:t>Yeah, well look. I think</w:t>
            </w:r>
            <w:r w:rsidR="007875EF">
              <w:rPr>
                <w:rFonts w:ascii="Lato" w:hAnsi="Lato"/>
              </w:rPr>
              <w:t xml:space="preserve"> that side of things, what’s to come</w:t>
            </w:r>
            <w:r w:rsidR="00A574AA">
              <w:rPr>
                <w:rFonts w:ascii="Lato" w:hAnsi="Lato"/>
              </w:rPr>
              <w:t>, supply chain in particular</w:t>
            </w:r>
            <w:r w:rsidR="00D751D8">
              <w:rPr>
                <w:rFonts w:ascii="Lato" w:hAnsi="Lato"/>
              </w:rPr>
              <w:t xml:space="preserve"> – well maybe, that might be </w:t>
            </w:r>
            <w:r w:rsidR="00B97D95">
              <w:rPr>
                <w:rFonts w:ascii="Lato" w:hAnsi="Lato"/>
              </w:rPr>
              <w:t>a different discussion. But look, thanks</w:t>
            </w:r>
            <w:r w:rsidR="00273539">
              <w:rPr>
                <w:rFonts w:ascii="Lato" w:hAnsi="Lato"/>
              </w:rPr>
              <w:t xml:space="preserve"> ever so much for joining me today. </w:t>
            </w:r>
            <w:r w:rsidR="009F177A">
              <w:rPr>
                <w:rFonts w:ascii="Lato" w:hAnsi="Lato"/>
                <w:color w:val="13A673"/>
              </w:rPr>
              <w:t xml:space="preserve">Pleasure. </w:t>
            </w:r>
            <w:r w:rsidR="00A10B6B">
              <w:rPr>
                <w:rFonts w:ascii="Lato" w:hAnsi="Lato"/>
              </w:rPr>
              <w:t>Fascinating as always. Thanks</w:t>
            </w:r>
            <w:r w:rsidR="00AC251E">
              <w:rPr>
                <w:rFonts w:ascii="Lato" w:hAnsi="Lato"/>
              </w:rPr>
              <w:t xml:space="preserve"> everybody for listening and hope you enjoy another edition of Energy Transition Shorts</w:t>
            </w:r>
            <w:r w:rsidR="009F177A">
              <w:rPr>
                <w:rFonts w:ascii="Lato" w:hAnsi="Lato"/>
              </w:rPr>
              <w:t xml:space="preserve"> in the future. Thank you.</w:t>
            </w:r>
          </w:p>
        </w:tc>
      </w:tr>
    </w:tbl>
    <w:p w14:paraId="1DAFE8F3" w14:textId="77777777" w:rsidR="001F1767" w:rsidRDefault="001F1767" w:rsidP="002117B7"/>
    <w:sectPr w:rsidR="001F176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0EF0" w14:textId="77777777" w:rsidR="00786EBD" w:rsidRDefault="00786EBD" w:rsidP="001F1767">
      <w:pPr>
        <w:spacing w:after="0" w:line="240" w:lineRule="auto"/>
      </w:pPr>
      <w:r>
        <w:separator/>
      </w:r>
    </w:p>
  </w:endnote>
  <w:endnote w:type="continuationSeparator" w:id="0">
    <w:p w14:paraId="31E2EFAF" w14:textId="77777777" w:rsidR="00786EBD" w:rsidRDefault="00786EBD" w:rsidP="001F1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E715F" w14:textId="77777777" w:rsidR="00786EBD" w:rsidRDefault="00786EBD" w:rsidP="001F1767">
      <w:pPr>
        <w:spacing w:after="0" w:line="240" w:lineRule="auto"/>
      </w:pPr>
      <w:r>
        <w:separator/>
      </w:r>
    </w:p>
  </w:footnote>
  <w:footnote w:type="continuationSeparator" w:id="0">
    <w:p w14:paraId="6DF8CB33" w14:textId="77777777" w:rsidR="00786EBD" w:rsidRDefault="00786EBD" w:rsidP="001F1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CE1B" w14:textId="3AC121E0" w:rsidR="001F1767" w:rsidRDefault="001F1767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99819EB" wp14:editId="778BF239">
          <wp:extent cx="1525459" cy="428126"/>
          <wp:effectExtent l="0" t="0" r="0" b="0"/>
          <wp:docPr id="1375579997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579997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459" cy="42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A6"/>
    <w:rsid w:val="00001000"/>
    <w:rsid w:val="0000716C"/>
    <w:rsid w:val="00010326"/>
    <w:rsid w:val="000128F2"/>
    <w:rsid w:val="000138E9"/>
    <w:rsid w:val="00013E8E"/>
    <w:rsid w:val="000151B6"/>
    <w:rsid w:val="00016452"/>
    <w:rsid w:val="000207FC"/>
    <w:rsid w:val="00023189"/>
    <w:rsid w:val="000250F9"/>
    <w:rsid w:val="00040ECD"/>
    <w:rsid w:val="00041C7D"/>
    <w:rsid w:val="000456B4"/>
    <w:rsid w:val="00052929"/>
    <w:rsid w:val="0005452E"/>
    <w:rsid w:val="00056724"/>
    <w:rsid w:val="0006203A"/>
    <w:rsid w:val="00067860"/>
    <w:rsid w:val="00074FF6"/>
    <w:rsid w:val="000755C8"/>
    <w:rsid w:val="000762B8"/>
    <w:rsid w:val="00076919"/>
    <w:rsid w:val="0008181F"/>
    <w:rsid w:val="00081876"/>
    <w:rsid w:val="00081B15"/>
    <w:rsid w:val="00091968"/>
    <w:rsid w:val="00092726"/>
    <w:rsid w:val="00095036"/>
    <w:rsid w:val="000A2207"/>
    <w:rsid w:val="000A75CA"/>
    <w:rsid w:val="000A7860"/>
    <w:rsid w:val="000B4055"/>
    <w:rsid w:val="000C30DE"/>
    <w:rsid w:val="000C401B"/>
    <w:rsid w:val="000C579D"/>
    <w:rsid w:val="000D378C"/>
    <w:rsid w:val="000D4716"/>
    <w:rsid w:val="000D573D"/>
    <w:rsid w:val="000E220C"/>
    <w:rsid w:val="000E482F"/>
    <w:rsid w:val="000E551D"/>
    <w:rsid w:val="000F2D07"/>
    <w:rsid w:val="000F466F"/>
    <w:rsid w:val="000F49C9"/>
    <w:rsid w:val="00103C18"/>
    <w:rsid w:val="00104B62"/>
    <w:rsid w:val="001061E1"/>
    <w:rsid w:val="00136AE8"/>
    <w:rsid w:val="00141371"/>
    <w:rsid w:val="00141F69"/>
    <w:rsid w:val="00142F24"/>
    <w:rsid w:val="00143437"/>
    <w:rsid w:val="00143BD9"/>
    <w:rsid w:val="00145E63"/>
    <w:rsid w:val="00146B07"/>
    <w:rsid w:val="00147393"/>
    <w:rsid w:val="001473D1"/>
    <w:rsid w:val="0015236A"/>
    <w:rsid w:val="00152481"/>
    <w:rsid w:val="00161C5B"/>
    <w:rsid w:val="00170BB7"/>
    <w:rsid w:val="00183E3D"/>
    <w:rsid w:val="00195EFE"/>
    <w:rsid w:val="0019771F"/>
    <w:rsid w:val="001A20F5"/>
    <w:rsid w:val="001A63E0"/>
    <w:rsid w:val="001B1F88"/>
    <w:rsid w:val="001C57B0"/>
    <w:rsid w:val="001D203A"/>
    <w:rsid w:val="001D3536"/>
    <w:rsid w:val="001E4AAC"/>
    <w:rsid w:val="001E7151"/>
    <w:rsid w:val="001F1767"/>
    <w:rsid w:val="001F5E0E"/>
    <w:rsid w:val="001F63A4"/>
    <w:rsid w:val="001F6B3C"/>
    <w:rsid w:val="001F73AA"/>
    <w:rsid w:val="002047E5"/>
    <w:rsid w:val="002117B7"/>
    <w:rsid w:val="002156B5"/>
    <w:rsid w:val="00216D80"/>
    <w:rsid w:val="00217B99"/>
    <w:rsid w:val="002208F2"/>
    <w:rsid w:val="00222052"/>
    <w:rsid w:val="00222A52"/>
    <w:rsid w:val="00224B73"/>
    <w:rsid w:val="00226898"/>
    <w:rsid w:val="00235023"/>
    <w:rsid w:val="002403D0"/>
    <w:rsid w:val="00244BE8"/>
    <w:rsid w:val="00246DD8"/>
    <w:rsid w:val="00251FAD"/>
    <w:rsid w:val="00257B36"/>
    <w:rsid w:val="0026077E"/>
    <w:rsid w:val="00261697"/>
    <w:rsid w:val="0026447E"/>
    <w:rsid w:val="00273539"/>
    <w:rsid w:val="002743D4"/>
    <w:rsid w:val="002756EF"/>
    <w:rsid w:val="00276996"/>
    <w:rsid w:val="0028021A"/>
    <w:rsid w:val="00281BB4"/>
    <w:rsid w:val="002903A5"/>
    <w:rsid w:val="00293414"/>
    <w:rsid w:val="0029602A"/>
    <w:rsid w:val="002A03F8"/>
    <w:rsid w:val="002A37DB"/>
    <w:rsid w:val="002A3D45"/>
    <w:rsid w:val="002A3E37"/>
    <w:rsid w:val="002A5659"/>
    <w:rsid w:val="002A57CC"/>
    <w:rsid w:val="002A6149"/>
    <w:rsid w:val="002A6C5A"/>
    <w:rsid w:val="002B2333"/>
    <w:rsid w:val="002B5470"/>
    <w:rsid w:val="002B7A86"/>
    <w:rsid w:val="002C1ED8"/>
    <w:rsid w:val="002C6FE6"/>
    <w:rsid w:val="002D2A6D"/>
    <w:rsid w:val="002D5489"/>
    <w:rsid w:val="002E4BBE"/>
    <w:rsid w:val="002E6EED"/>
    <w:rsid w:val="002E77C2"/>
    <w:rsid w:val="002F3795"/>
    <w:rsid w:val="00305481"/>
    <w:rsid w:val="0031275A"/>
    <w:rsid w:val="0032696B"/>
    <w:rsid w:val="00333449"/>
    <w:rsid w:val="0033797F"/>
    <w:rsid w:val="003414B2"/>
    <w:rsid w:val="003436D7"/>
    <w:rsid w:val="0035024F"/>
    <w:rsid w:val="0035300A"/>
    <w:rsid w:val="0035579E"/>
    <w:rsid w:val="003643E7"/>
    <w:rsid w:val="00365A30"/>
    <w:rsid w:val="0036649E"/>
    <w:rsid w:val="00375A17"/>
    <w:rsid w:val="00380C1C"/>
    <w:rsid w:val="0038718D"/>
    <w:rsid w:val="00396321"/>
    <w:rsid w:val="003A093B"/>
    <w:rsid w:val="003A501D"/>
    <w:rsid w:val="003A5337"/>
    <w:rsid w:val="003B47B3"/>
    <w:rsid w:val="003B6659"/>
    <w:rsid w:val="003C0D1A"/>
    <w:rsid w:val="003D27C1"/>
    <w:rsid w:val="003D3EF4"/>
    <w:rsid w:val="003D47B7"/>
    <w:rsid w:val="003D6FAB"/>
    <w:rsid w:val="003D715A"/>
    <w:rsid w:val="003E4643"/>
    <w:rsid w:val="003F26CA"/>
    <w:rsid w:val="003F2751"/>
    <w:rsid w:val="004017F1"/>
    <w:rsid w:val="004169E8"/>
    <w:rsid w:val="00443BCD"/>
    <w:rsid w:val="00446FFF"/>
    <w:rsid w:val="00456D9D"/>
    <w:rsid w:val="00465C68"/>
    <w:rsid w:val="00470AE5"/>
    <w:rsid w:val="00473565"/>
    <w:rsid w:val="004760F9"/>
    <w:rsid w:val="004825B8"/>
    <w:rsid w:val="004845FF"/>
    <w:rsid w:val="00484D7D"/>
    <w:rsid w:val="00484DDD"/>
    <w:rsid w:val="00485677"/>
    <w:rsid w:val="004A40A0"/>
    <w:rsid w:val="004A4B6B"/>
    <w:rsid w:val="004B3251"/>
    <w:rsid w:val="004B374B"/>
    <w:rsid w:val="004C338F"/>
    <w:rsid w:val="004D6CCC"/>
    <w:rsid w:val="004E20C8"/>
    <w:rsid w:val="004E3317"/>
    <w:rsid w:val="004F474A"/>
    <w:rsid w:val="004F7DBF"/>
    <w:rsid w:val="00506623"/>
    <w:rsid w:val="005119AA"/>
    <w:rsid w:val="00515EC0"/>
    <w:rsid w:val="00520EB5"/>
    <w:rsid w:val="00525F60"/>
    <w:rsid w:val="00530FBF"/>
    <w:rsid w:val="00531DE0"/>
    <w:rsid w:val="0053463C"/>
    <w:rsid w:val="005351DA"/>
    <w:rsid w:val="00543D65"/>
    <w:rsid w:val="00552EFA"/>
    <w:rsid w:val="0056024A"/>
    <w:rsid w:val="00561A2C"/>
    <w:rsid w:val="00566D7E"/>
    <w:rsid w:val="00571EE5"/>
    <w:rsid w:val="00580736"/>
    <w:rsid w:val="0059587B"/>
    <w:rsid w:val="005A3366"/>
    <w:rsid w:val="005A69F8"/>
    <w:rsid w:val="005C44D6"/>
    <w:rsid w:val="005C519E"/>
    <w:rsid w:val="005D552E"/>
    <w:rsid w:val="005E1BB7"/>
    <w:rsid w:val="005E2314"/>
    <w:rsid w:val="005F08DF"/>
    <w:rsid w:val="005F2407"/>
    <w:rsid w:val="00603D78"/>
    <w:rsid w:val="00607433"/>
    <w:rsid w:val="006102A2"/>
    <w:rsid w:val="0061492E"/>
    <w:rsid w:val="00626904"/>
    <w:rsid w:val="00626C10"/>
    <w:rsid w:val="00626C78"/>
    <w:rsid w:val="006279D9"/>
    <w:rsid w:val="006308B1"/>
    <w:rsid w:val="00635792"/>
    <w:rsid w:val="0063709B"/>
    <w:rsid w:val="00637775"/>
    <w:rsid w:val="00642472"/>
    <w:rsid w:val="00642709"/>
    <w:rsid w:val="0064596F"/>
    <w:rsid w:val="00663B73"/>
    <w:rsid w:val="00673500"/>
    <w:rsid w:val="00697B65"/>
    <w:rsid w:val="006A29A0"/>
    <w:rsid w:val="006A48A4"/>
    <w:rsid w:val="006B4C20"/>
    <w:rsid w:val="006B6DE6"/>
    <w:rsid w:val="006B7253"/>
    <w:rsid w:val="006D207E"/>
    <w:rsid w:val="006E4992"/>
    <w:rsid w:val="006F00D6"/>
    <w:rsid w:val="006F1064"/>
    <w:rsid w:val="00701EDB"/>
    <w:rsid w:val="0070710F"/>
    <w:rsid w:val="007118F2"/>
    <w:rsid w:val="0071328D"/>
    <w:rsid w:val="0071528D"/>
    <w:rsid w:val="007175F0"/>
    <w:rsid w:val="007256C4"/>
    <w:rsid w:val="00726049"/>
    <w:rsid w:val="0073268D"/>
    <w:rsid w:val="00786EBD"/>
    <w:rsid w:val="0078758B"/>
    <w:rsid w:val="007875EF"/>
    <w:rsid w:val="00787A6E"/>
    <w:rsid w:val="00787F95"/>
    <w:rsid w:val="007A6EFB"/>
    <w:rsid w:val="007B72D3"/>
    <w:rsid w:val="007C3495"/>
    <w:rsid w:val="007C35FD"/>
    <w:rsid w:val="007C413F"/>
    <w:rsid w:val="007D6639"/>
    <w:rsid w:val="007D6FDE"/>
    <w:rsid w:val="007F10EF"/>
    <w:rsid w:val="00803AB8"/>
    <w:rsid w:val="00810A8A"/>
    <w:rsid w:val="008125CD"/>
    <w:rsid w:val="00813834"/>
    <w:rsid w:val="00815E94"/>
    <w:rsid w:val="008176A9"/>
    <w:rsid w:val="00817FE0"/>
    <w:rsid w:val="008205E8"/>
    <w:rsid w:val="00822BFD"/>
    <w:rsid w:val="0082350F"/>
    <w:rsid w:val="0083033E"/>
    <w:rsid w:val="008329F0"/>
    <w:rsid w:val="00832B49"/>
    <w:rsid w:val="008514D0"/>
    <w:rsid w:val="00853612"/>
    <w:rsid w:val="008657EB"/>
    <w:rsid w:val="00870FD0"/>
    <w:rsid w:val="00870FEA"/>
    <w:rsid w:val="00873DEE"/>
    <w:rsid w:val="008749A7"/>
    <w:rsid w:val="008806D4"/>
    <w:rsid w:val="0089309D"/>
    <w:rsid w:val="008946C5"/>
    <w:rsid w:val="008A2FEE"/>
    <w:rsid w:val="008A52FC"/>
    <w:rsid w:val="008A787D"/>
    <w:rsid w:val="008B5622"/>
    <w:rsid w:val="008B6E49"/>
    <w:rsid w:val="008C6069"/>
    <w:rsid w:val="008D1191"/>
    <w:rsid w:val="008D72EF"/>
    <w:rsid w:val="008E153D"/>
    <w:rsid w:val="008E4370"/>
    <w:rsid w:val="008F04EE"/>
    <w:rsid w:val="0090573E"/>
    <w:rsid w:val="00914D7C"/>
    <w:rsid w:val="00921D6A"/>
    <w:rsid w:val="00921D73"/>
    <w:rsid w:val="00922387"/>
    <w:rsid w:val="00923939"/>
    <w:rsid w:val="00925DEC"/>
    <w:rsid w:val="009272DB"/>
    <w:rsid w:val="00935011"/>
    <w:rsid w:val="00947547"/>
    <w:rsid w:val="0094770C"/>
    <w:rsid w:val="00954581"/>
    <w:rsid w:val="00961226"/>
    <w:rsid w:val="00964D1D"/>
    <w:rsid w:val="009671E3"/>
    <w:rsid w:val="009751E5"/>
    <w:rsid w:val="009902FE"/>
    <w:rsid w:val="00993BBA"/>
    <w:rsid w:val="009970B0"/>
    <w:rsid w:val="009978F1"/>
    <w:rsid w:val="00997FF6"/>
    <w:rsid w:val="009A00DF"/>
    <w:rsid w:val="009A682A"/>
    <w:rsid w:val="009C1BBE"/>
    <w:rsid w:val="009E37C3"/>
    <w:rsid w:val="009E5058"/>
    <w:rsid w:val="009F177A"/>
    <w:rsid w:val="009F27BF"/>
    <w:rsid w:val="00A01367"/>
    <w:rsid w:val="00A068D3"/>
    <w:rsid w:val="00A1026A"/>
    <w:rsid w:val="00A10B6B"/>
    <w:rsid w:val="00A156F9"/>
    <w:rsid w:val="00A17630"/>
    <w:rsid w:val="00A17631"/>
    <w:rsid w:val="00A20BE5"/>
    <w:rsid w:val="00A3194B"/>
    <w:rsid w:val="00A32476"/>
    <w:rsid w:val="00A42BBB"/>
    <w:rsid w:val="00A4765B"/>
    <w:rsid w:val="00A476E1"/>
    <w:rsid w:val="00A5032B"/>
    <w:rsid w:val="00A50721"/>
    <w:rsid w:val="00A561C5"/>
    <w:rsid w:val="00A574AA"/>
    <w:rsid w:val="00A61C04"/>
    <w:rsid w:val="00A6413B"/>
    <w:rsid w:val="00A656D6"/>
    <w:rsid w:val="00A73C01"/>
    <w:rsid w:val="00A81F66"/>
    <w:rsid w:val="00A83696"/>
    <w:rsid w:val="00A83812"/>
    <w:rsid w:val="00A91B43"/>
    <w:rsid w:val="00A95622"/>
    <w:rsid w:val="00A95F2C"/>
    <w:rsid w:val="00AA16FD"/>
    <w:rsid w:val="00AB66E5"/>
    <w:rsid w:val="00AC251E"/>
    <w:rsid w:val="00AC611B"/>
    <w:rsid w:val="00AC6353"/>
    <w:rsid w:val="00AD17B2"/>
    <w:rsid w:val="00AD2308"/>
    <w:rsid w:val="00AD259A"/>
    <w:rsid w:val="00AD6D0D"/>
    <w:rsid w:val="00AE3B18"/>
    <w:rsid w:val="00AE4227"/>
    <w:rsid w:val="00AE6A1D"/>
    <w:rsid w:val="00AE7ED5"/>
    <w:rsid w:val="00AE7FDB"/>
    <w:rsid w:val="00AF19E1"/>
    <w:rsid w:val="00AF7592"/>
    <w:rsid w:val="00B037FB"/>
    <w:rsid w:val="00B10FEC"/>
    <w:rsid w:val="00B13BDD"/>
    <w:rsid w:val="00B14C4C"/>
    <w:rsid w:val="00B16B50"/>
    <w:rsid w:val="00B276CD"/>
    <w:rsid w:val="00B30413"/>
    <w:rsid w:val="00B30AFB"/>
    <w:rsid w:val="00B30F67"/>
    <w:rsid w:val="00B36C2A"/>
    <w:rsid w:val="00B623A0"/>
    <w:rsid w:val="00B75D96"/>
    <w:rsid w:val="00B807ED"/>
    <w:rsid w:val="00B81A02"/>
    <w:rsid w:val="00B824F8"/>
    <w:rsid w:val="00B857E1"/>
    <w:rsid w:val="00B966B0"/>
    <w:rsid w:val="00B97D95"/>
    <w:rsid w:val="00BA30A1"/>
    <w:rsid w:val="00BA3321"/>
    <w:rsid w:val="00BA7D5B"/>
    <w:rsid w:val="00BB0E00"/>
    <w:rsid w:val="00BB3457"/>
    <w:rsid w:val="00BB38BB"/>
    <w:rsid w:val="00BB390D"/>
    <w:rsid w:val="00BB6C4C"/>
    <w:rsid w:val="00BB7512"/>
    <w:rsid w:val="00BC4446"/>
    <w:rsid w:val="00BD042F"/>
    <w:rsid w:val="00BD0F2D"/>
    <w:rsid w:val="00BD7E41"/>
    <w:rsid w:val="00BE4170"/>
    <w:rsid w:val="00BE5DFE"/>
    <w:rsid w:val="00BF1FF2"/>
    <w:rsid w:val="00BF788E"/>
    <w:rsid w:val="00C05D43"/>
    <w:rsid w:val="00C117A5"/>
    <w:rsid w:val="00C16FBB"/>
    <w:rsid w:val="00C25D58"/>
    <w:rsid w:val="00C26564"/>
    <w:rsid w:val="00C33F5E"/>
    <w:rsid w:val="00C341BB"/>
    <w:rsid w:val="00C439A7"/>
    <w:rsid w:val="00C43B0D"/>
    <w:rsid w:val="00C60A63"/>
    <w:rsid w:val="00C66DEB"/>
    <w:rsid w:val="00C66E4C"/>
    <w:rsid w:val="00C67282"/>
    <w:rsid w:val="00C71F99"/>
    <w:rsid w:val="00C81D8F"/>
    <w:rsid w:val="00C8668A"/>
    <w:rsid w:val="00C93347"/>
    <w:rsid w:val="00C94351"/>
    <w:rsid w:val="00CB4CEB"/>
    <w:rsid w:val="00CB5EF6"/>
    <w:rsid w:val="00CC1178"/>
    <w:rsid w:val="00CC4BE3"/>
    <w:rsid w:val="00CC60CB"/>
    <w:rsid w:val="00CC7A66"/>
    <w:rsid w:val="00CD03C1"/>
    <w:rsid w:val="00CD26FF"/>
    <w:rsid w:val="00CD2C86"/>
    <w:rsid w:val="00CD354E"/>
    <w:rsid w:val="00CE16BD"/>
    <w:rsid w:val="00CE72C9"/>
    <w:rsid w:val="00CE73A6"/>
    <w:rsid w:val="00CF0FA7"/>
    <w:rsid w:val="00CF212A"/>
    <w:rsid w:val="00CF2B86"/>
    <w:rsid w:val="00CF56C5"/>
    <w:rsid w:val="00D0447E"/>
    <w:rsid w:val="00D11464"/>
    <w:rsid w:val="00D301E2"/>
    <w:rsid w:val="00D327C4"/>
    <w:rsid w:val="00D32DB5"/>
    <w:rsid w:val="00D33A22"/>
    <w:rsid w:val="00D37657"/>
    <w:rsid w:val="00D4369A"/>
    <w:rsid w:val="00D4692E"/>
    <w:rsid w:val="00D46D72"/>
    <w:rsid w:val="00D50BB8"/>
    <w:rsid w:val="00D51D1B"/>
    <w:rsid w:val="00D52F03"/>
    <w:rsid w:val="00D564BF"/>
    <w:rsid w:val="00D5695A"/>
    <w:rsid w:val="00D6057D"/>
    <w:rsid w:val="00D646AA"/>
    <w:rsid w:val="00D66221"/>
    <w:rsid w:val="00D70DB9"/>
    <w:rsid w:val="00D751D8"/>
    <w:rsid w:val="00D84586"/>
    <w:rsid w:val="00D86984"/>
    <w:rsid w:val="00D956DB"/>
    <w:rsid w:val="00D95D4A"/>
    <w:rsid w:val="00DC023E"/>
    <w:rsid w:val="00DC3F77"/>
    <w:rsid w:val="00DC6D1F"/>
    <w:rsid w:val="00DD24B1"/>
    <w:rsid w:val="00DD5D0D"/>
    <w:rsid w:val="00DD76AA"/>
    <w:rsid w:val="00DE6D3E"/>
    <w:rsid w:val="00DE7808"/>
    <w:rsid w:val="00DF322D"/>
    <w:rsid w:val="00DF49E5"/>
    <w:rsid w:val="00E07450"/>
    <w:rsid w:val="00E14AFE"/>
    <w:rsid w:val="00E44737"/>
    <w:rsid w:val="00E51FF5"/>
    <w:rsid w:val="00E5214A"/>
    <w:rsid w:val="00E571C0"/>
    <w:rsid w:val="00E60A0A"/>
    <w:rsid w:val="00E64261"/>
    <w:rsid w:val="00E66E81"/>
    <w:rsid w:val="00E850F4"/>
    <w:rsid w:val="00E9306C"/>
    <w:rsid w:val="00EA03EB"/>
    <w:rsid w:val="00EA05F9"/>
    <w:rsid w:val="00EA622A"/>
    <w:rsid w:val="00EA73D2"/>
    <w:rsid w:val="00EB3155"/>
    <w:rsid w:val="00EC49E6"/>
    <w:rsid w:val="00EC60E6"/>
    <w:rsid w:val="00EC6545"/>
    <w:rsid w:val="00EC6AD9"/>
    <w:rsid w:val="00ED3A55"/>
    <w:rsid w:val="00EE0EC7"/>
    <w:rsid w:val="00EF5D4F"/>
    <w:rsid w:val="00F04846"/>
    <w:rsid w:val="00F07219"/>
    <w:rsid w:val="00F100B2"/>
    <w:rsid w:val="00F33845"/>
    <w:rsid w:val="00F46C13"/>
    <w:rsid w:val="00F500DC"/>
    <w:rsid w:val="00F54016"/>
    <w:rsid w:val="00F5664D"/>
    <w:rsid w:val="00F60EE7"/>
    <w:rsid w:val="00F65AF3"/>
    <w:rsid w:val="00F73C83"/>
    <w:rsid w:val="00F77481"/>
    <w:rsid w:val="00F83E57"/>
    <w:rsid w:val="00FA0883"/>
    <w:rsid w:val="00FA5EAE"/>
    <w:rsid w:val="00FB5425"/>
    <w:rsid w:val="00FB5B94"/>
    <w:rsid w:val="00FB738A"/>
    <w:rsid w:val="00FC0362"/>
    <w:rsid w:val="00FC03F6"/>
    <w:rsid w:val="00FC2155"/>
    <w:rsid w:val="00FD2E91"/>
    <w:rsid w:val="00FD6EBC"/>
    <w:rsid w:val="00FD78C7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F12B3"/>
  <w15:chartTrackingRefBased/>
  <w15:docId w15:val="{48D00EAC-1592-4FDF-8EAD-902BC1DF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767"/>
  </w:style>
  <w:style w:type="paragraph" w:styleId="Footer">
    <w:name w:val="footer"/>
    <w:basedOn w:val="Normal"/>
    <w:link w:val="FooterChar"/>
    <w:uiPriority w:val="99"/>
    <w:unhideWhenUsed/>
    <w:rsid w:val="001F1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B4C37D37204439E8281E5463BBF69" ma:contentTypeVersion="19" ma:contentTypeDescription="Create a new document." ma:contentTypeScope="" ma:versionID="3f9ee1aa27ed06324c37a31e65b1ed00">
  <xsd:schema xmlns:xsd="http://www.w3.org/2001/XMLSchema" xmlns:xs="http://www.w3.org/2001/XMLSchema" xmlns:p="http://schemas.microsoft.com/office/2006/metadata/properties" xmlns:ns2="064e4bbf-7839-425a-b177-3243e4876e11" xmlns:ns3="c4782d11-7552-4e3e-ab58-11a691f06416" targetNamespace="http://schemas.microsoft.com/office/2006/metadata/properties" ma:root="true" ma:fieldsID="f338a0f1c6f3f416522e7286e5d715f1" ns2:_="" ns3:_="">
    <xsd:import namespace="064e4bbf-7839-425a-b177-3243e4876e11"/>
    <xsd:import namespace="c4782d11-7552-4e3e-ab58-11a691f06416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e4bbf-7839-425a-b177-3243e4876e1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cf1b816b-27c3-4edc-8966-4996ea3ce486}" ma:internalName="TaxCatchAll" ma:showField="CatchAllData" ma:web="064e4bbf-7839-425a-b177-3243e487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82d11-7552-4e3e-ab58-11a691f06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51ace0-7784-4b50-866d-0cf0b5908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82d11-7552-4e3e-ab58-11a691f06416">
      <Terms xmlns="http://schemas.microsoft.com/office/infopath/2007/PartnerControls"/>
    </lcf76f155ced4ddcb4097134ff3c332f>
    <TaxCatchAll xmlns="064e4bbf-7839-425a-b177-3243e4876e11" xsi:nil="true"/>
  </documentManagement>
</p:properties>
</file>

<file path=customXml/itemProps1.xml><?xml version="1.0" encoding="utf-8"?>
<ds:datastoreItem xmlns:ds="http://schemas.openxmlformats.org/officeDocument/2006/customXml" ds:itemID="{B6B5CDD0-F42A-42C6-9FB4-10CDE9A3C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e4bbf-7839-425a-b177-3243e4876e11"/>
    <ds:schemaRef ds:uri="c4782d11-7552-4e3e-ab58-11a691f06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C31107-4409-4C4B-9563-97BCB8120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C9F6D-623F-4B83-96FF-6DB7C3CAE694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64e4bbf-7839-425a-b177-3243e4876e11"/>
    <ds:schemaRef ds:uri="c4782d11-7552-4e3e-ab58-11a691f06416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1949</Words>
  <Characters>10646</Characters>
  <Application>Microsoft Office Word</Application>
  <DocSecurity>0</DocSecurity>
  <Lines>226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Stenning</dc:creator>
  <cp:keywords/>
  <dc:description/>
  <cp:lastModifiedBy>Frankie Stenning</cp:lastModifiedBy>
  <cp:revision>2</cp:revision>
  <dcterms:created xsi:type="dcterms:W3CDTF">2026-01-05T09:54:00Z</dcterms:created>
  <dcterms:modified xsi:type="dcterms:W3CDTF">2026-01-05T09:54:00Z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0x0101009B3B4C37D37204439E8281E5463BBF69</vt:lpwstr>
  </property>
  <property fmtid="{D5CDD505-2E9C-101B-9397-08002B2CF9AE}" pid="3" name="MSIP_Label_fc4519d8-adb2-4385-b2bc-1749617809ca_Enabled">
    <vt:lpwstr>true</vt:lpwstr>
  </property>
  <property fmtid="{D5CDD505-2E9C-101B-9397-08002B2CF9AE}" pid="4" name="MSIP_Label_fc4519d8-adb2-4385-b2bc-1749617809ca_SetDate">
    <vt:lpwstr>2025-09-08T10:48:40Z</vt:lpwstr>
  </property>
  <property fmtid="{D5CDD505-2E9C-101B-9397-08002B2CF9AE}" pid="5" name="MSIP_Label_fc4519d8-adb2-4385-b2bc-1749617809ca_Method">
    <vt:lpwstr>Standard</vt:lpwstr>
  </property>
  <property fmtid="{D5CDD505-2E9C-101B-9397-08002B2CF9AE}" pid="6" name="MSIP_Label_fc4519d8-adb2-4385-b2bc-1749617809ca_Name">
    <vt:lpwstr>fc4519d8-adb2-4385-b2bc-1749617809ca</vt:lpwstr>
  </property>
  <property fmtid="{D5CDD505-2E9C-101B-9397-08002B2CF9AE}" pid="7" name="MSIP_Label_fc4519d8-adb2-4385-b2bc-1749617809ca_SiteId">
    <vt:lpwstr>7243835e-31d0-4cb2-b1ea-2a33d6eaf3c0</vt:lpwstr>
  </property>
  <property fmtid="{D5CDD505-2E9C-101B-9397-08002B2CF9AE}" pid="8" name="MSIP_Label_fc4519d8-adb2-4385-b2bc-1749617809ca_ActionId">
    <vt:lpwstr>670a2158-a27f-48b4-a050-203c73ec7cd7</vt:lpwstr>
  </property>
  <property fmtid="{D5CDD505-2E9C-101B-9397-08002B2CF9AE}" pid="9" name="MSIP_Label_fc4519d8-adb2-4385-b2bc-1749617809ca_ContentBits">
    <vt:lpwstr>0</vt:lpwstr>
  </property>
  <property fmtid="{D5CDD505-2E9C-101B-9397-08002B2CF9AE}" pid="10" name="MSIP_Label_fc4519d8-adb2-4385-b2bc-1749617809ca_Tag">
    <vt:lpwstr>10, 3, 0, 1</vt:lpwstr>
  </property>
  <property fmtid="{D5CDD505-2E9C-101B-9397-08002B2CF9AE}" pid="11" name="MediaServiceImageTags">
    <vt:lpwstr/>
  </property>
</Properties>
</file>