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259C3" w14:textId="565F74B4" w:rsidR="001F1767" w:rsidRPr="001F1767" w:rsidRDefault="001F1767" w:rsidP="001F1767">
      <w:pPr>
        <w:rPr>
          <w:rFonts w:ascii="Lato" w:hAnsi="Lato"/>
        </w:rPr>
      </w:pPr>
      <w:r w:rsidRPr="001F1767">
        <w:rPr>
          <w:rFonts w:ascii="Lato" w:hAnsi="Lato"/>
        </w:rPr>
        <w:t>Tom Williams, Partner and Head of Energy &amp; Infrastructure</w:t>
      </w:r>
    </w:p>
    <w:p w14:paraId="39DF684D" w14:textId="790076CF" w:rsidR="001F1767" w:rsidRDefault="0026447E" w:rsidP="001F1767">
      <w:pPr>
        <w:rPr>
          <w:rFonts w:ascii="Lato" w:hAnsi="Lato"/>
          <w:color w:val="13A673"/>
        </w:rPr>
      </w:pPr>
      <w:r>
        <w:rPr>
          <w:rFonts w:ascii="Lato" w:hAnsi="Lato"/>
          <w:color w:val="13A673"/>
        </w:rPr>
        <w:t>Henrik</w:t>
      </w:r>
      <w:r w:rsidR="00AD17B2">
        <w:rPr>
          <w:rFonts w:ascii="Lato" w:hAnsi="Lato"/>
          <w:color w:val="13A673"/>
        </w:rPr>
        <w:t xml:space="preserve"> Dahlstr</w:t>
      </w:r>
      <w:r w:rsidR="00AD17B2" w:rsidRPr="00AD17B2">
        <w:rPr>
          <w:rFonts w:ascii="Lato" w:hAnsi="Lato"/>
          <w:color w:val="13A673"/>
        </w:rPr>
        <w:t>ö</w:t>
      </w:r>
      <w:r w:rsidR="00AD17B2">
        <w:rPr>
          <w:rFonts w:ascii="Lato" w:hAnsi="Lato"/>
          <w:color w:val="13A673"/>
        </w:rPr>
        <w:t>m</w:t>
      </w:r>
      <w:r>
        <w:rPr>
          <w:rFonts w:ascii="Lato" w:hAnsi="Lato"/>
          <w:color w:val="13A673"/>
        </w:rPr>
        <w:t>, Investment Director</w:t>
      </w:r>
    </w:p>
    <w:p w14:paraId="39F351E1" w14:textId="1A295363" w:rsidR="001F1767" w:rsidRPr="001F1767" w:rsidRDefault="001F1767" w:rsidP="001F1767">
      <w:pPr>
        <w:pStyle w:val="Subtitle"/>
        <w:rPr>
          <w:rFonts w:ascii="Lato" w:hAnsi="Lato"/>
          <w:b/>
          <w:bCs/>
        </w:rPr>
      </w:pPr>
      <w:r w:rsidRPr="001F1767">
        <w:rPr>
          <w:rFonts w:ascii="Lato" w:hAnsi="Lato"/>
          <w:b/>
          <w:bCs/>
        </w:rPr>
        <w:t>Transcript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170"/>
      </w:tblGrid>
      <w:tr w:rsidR="001F1767" w:rsidRPr="001F1767" w14:paraId="44FBA508" w14:textId="77777777" w:rsidTr="001F1767">
        <w:tc>
          <w:tcPr>
            <w:tcW w:w="846" w:type="dxa"/>
          </w:tcPr>
          <w:p w14:paraId="00887B43" w14:textId="20FEC5D4" w:rsidR="001F1767" w:rsidRPr="001F1767" w:rsidRDefault="001F1767" w:rsidP="001504F5">
            <w:pPr>
              <w:rPr>
                <w:rFonts w:ascii="Lato" w:hAnsi="Lato"/>
              </w:rPr>
            </w:pPr>
            <w:r w:rsidRPr="001F1767">
              <w:rPr>
                <w:rFonts w:ascii="Lato" w:hAnsi="Lato"/>
              </w:rPr>
              <w:t>00:</w:t>
            </w:r>
            <w:r w:rsidR="002C6FE6">
              <w:rPr>
                <w:rFonts w:ascii="Lato" w:hAnsi="Lato"/>
              </w:rPr>
              <w:t>10</w:t>
            </w:r>
          </w:p>
        </w:tc>
        <w:tc>
          <w:tcPr>
            <w:tcW w:w="8170" w:type="dxa"/>
          </w:tcPr>
          <w:p w14:paraId="0EED69AC" w14:textId="4E3937FF" w:rsidR="001F1767" w:rsidRPr="001F1767" w:rsidRDefault="004169E8" w:rsidP="001504F5">
            <w:pPr>
              <w:rPr>
                <w:rFonts w:ascii="Lato" w:hAnsi="Lato"/>
              </w:rPr>
            </w:pPr>
            <w:r>
              <w:rPr>
                <w:rFonts w:ascii="Lato" w:hAnsi="Lato"/>
              </w:rPr>
              <w:t xml:space="preserve">Welcome back to </w:t>
            </w:r>
            <w:r w:rsidR="002C6FE6">
              <w:rPr>
                <w:rFonts w:ascii="Lato" w:hAnsi="Lato"/>
              </w:rPr>
              <w:t>another edition of Downing’s Energy Transition Shorts. Today I’m joined by Henrik Dahlstr</w:t>
            </w:r>
            <w:r w:rsidR="002C6FE6" w:rsidRPr="002C6FE6">
              <w:rPr>
                <w:rFonts w:ascii="Lato" w:hAnsi="Lato"/>
              </w:rPr>
              <w:t>ö</w:t>
            </w:r>
            <w:r w:rsidR="002C6FE6">
              <w:rPr>
                <w:rFonts w:ascii="Lato" w:hAnsi="Lato"/>
              </w:rPr>
              <w:t xml:space="preserve">m, Investment Director at Downing, who also leads our investment activity in the Nordics. </w:t>
            </w:r>
          </w:p>
        </w:tc>
      </w:tr>
      <w:tr w:rsidR="005E1BB7" w:rsidRPr="001F1767" w14:paraId="122FD86E" w14:textId="77777777" w:rsidTr="001F1767">
        <w:tc>
          <w:tcPr>
            <w:tcW w:w="846" w:type="dxa"/>
          </w:tcPr>
          <w:p w14:paraId="3BE58823" w14:textId="7A8817D8" w:rsidR="005E1BB7" w:rsidRPr="001F1767" w:rsidRDefault="005E1BB7" w:rsidP="001504F5">
            <w:pPr>
              <w:rPr>
                <w:rFonts w:ascii="Lato" w:hAnsi="Lato"/>
              </w:rPr>
            </w:pPr>
            <w:r>
              <w:rPr>
                <w:rFonts w:ascii="Lato" w:hAnsi="Lato"/>
              </w:rPr>
              <w:t>00:</w:t>
            </w:r>
            <w:r w:rsidR="00056724">
              <w:rPr>
                <w:rFonts w:ascii="Lato" w:hAnsi="Lato"/>
              </w:rPr>
              <w:t>32</w:t>
            </w:r>
          </w:p>
        </w:tc>
        <w:tc>
          <w:tcPr>
            <w:tcW w:w="8170" w:type="dxa"/>
          </w:tcPr>
          <w:p w14:paraId="6FA46E7E" w14:textId="75260B0E" w:rsidR="005E1BB7" w:rsidRDefault="00056724" w:rsidP="001504F5">
            <w:pPr>
              <w:rPr>
                <w:rFonts w:ascii="Lato" w:hAnsi="Lato"/>
              </w:rPr>
            </w:pPr>
            <w:r>
              <w:rPr>
                <w:rFonts w:ascii="Lato" w:hAnsi="Lato"/>
              </w:rPr>
              <w:t>So, Henrik, we’ve seen a lot of governments and regulators look at zonal pricing recently. Whilst our focus in the UK was ongoing from national to zonal, ultimately rejected, in Sweden,</w:t>
            </w:r>
            <w:r w:rsidR="0006203A">
              <w:rPr>
                <w:rFonts w:ascii="Lato" w:hAnsi="Lato"/>
              </w:rPr>
              <w:t xml:space="preserve"> they’re looking at exactly the opposite. Can you tell us a little bit about ENTSO-E, its recommendations and the implications of those recommendations for Sweden?</w:t>
            </w:r>
          </w:p>
        </w:tc>
      </w:tr>
      <w:tr w:rsidR="00CB5EF6" w:rsidRPr="001F1767" w14:paraId="46199116" w14:textId="77777777" w:rsidTr="001F1767">
        <w:tc>
          <w:tcPr>
            <w:tcW w:w="846" w:type="dxa"/>
          </w:tcPr>
          <w:p w14:paraId="07A6B525" w14:textId="4CE0B901" w:rsidR="00CB5EF6" w:rsidRDefault="00CB5EF6" w:rsidP="001504F5">
            <w:pPr>
              <w:rPr>
                <w:rFonts w:ascii="Lato" w:hAnsi="Lato"/>
              </w:rPr>
            </w:pPr>
            <w:r>
              <w:rPr>
                <w:rFonts w:ascii="Lato" w:hAnsi="Lato"/>
              </w:rPr>
              <w:t>0</w:t>
            </w:r>
            <w:r w:rsidR="0006203A">
              <w:rPr>
                <w:rFonts w:ascii="Lato" w:hAnsi="Lato"/>
              </w:rPr>
              <w:t>0:57</w:t>
            </w:r>
          </w:p>
        </w:tc>
        <w:tc>
          <w:tcPr>
            <w:tcW w:w="8170" w:type="dxa"/>
          </w:tcPr>
          <w:p w14:paraId="217FFCFF" w14:textId="07DEC0A7" w:rsidR="00CB5EF6" w:rsidRPr="00DF49E5" w:rsidRDefault="0006203A" w:rsidP="001504F5">
            <w:pPr>
              <w:rPr>
                <w:rFonts w:ascii="Lato" w:hAnsi="Lato"/>
                <w:color w:val="13A673"/>
              </w:rPr>
            </w:pPr>
            <w:r>
              <w:rPr>
                <w:rFonts w:ascii="Lato" w:hAnsi="Lato"/>
                <w:color w:val="13A673"/>
              </w:rPr>
              <w:t>Thanks, Tom. You are correct. ENTSO-E, which is the European Network of Transmission System Operators for Electricity</w:t>
            </w:r>
            <w:r w:rsidR="00A17630">
              <w:rPr>
                <w:rFonts w:ascii="Lato" w:hAnsi="Lato"/>
                <w:color w:val="13A673"/>
              </w:rPr>
              <w:t xml:space="preserve">. They proposed some changes to </w:t>
            </w:r>
            <w:r w:rsidR="00A17630" w:rsidRPr="00095036">
              <w:rPr>
                <w:rFonts w:ascii="Lato" w:hAnsi="Lato"/>
                <w:color w:val="13A673"/>
              </w:rPr>
              <w:t>the</w:t>
            </w:r>
            <w:r w:rsidR="00A17630">
              <w:rPr>
                <w:rFonts w:ascii="Lato" w:hAnsi="Lato"/>
                <w:color w:val="13A673"/>
              </w:rPr>
              <w:t xml:space="preserve"> price zones in Sweden by redrawing the zonal maps. How</w:t>
            </w:r>
            <w:r w:rsidR="00A83696">
              <w:rPr>
                <w:rFonts w:ascii="Lato" w:hAnsi="Lato"/>
                <w:color w:val="13A673"/>
              </w:rPr>
              <w:t>ever, the Swedish government rejected the proposals and did not implement the changes, and instead the government asked SVK, which is the Swedish Transmission and System Operator, to instead investigate whether the number of price zones could be reduced.</w:t>
            </w:r>
          </w:p>
        </w:tc>
      </w:tr>
      <w:tr w:rsidR="00DF49E5" w:rsidRPr="001F1767" w14:paraId="1F9C65CA" w14:textId="77777777" w:rsidTr="001F1767">
        <w:tc>
          <w:tcPr>
            <w:tcW w:w="846" w:type="dxa"/>
          </w:tcPr>
          <w:p w14:paraId="2BDC9FC1" w14:textId="0FEAE9ED" w:rsidR="00DF49E5" w:rsidRDefault="00DF49E5" w:rsidP="001504F5">
            <w:pPr>
              <w:rPr>
                <w:rFonts w:ascii="Lato" w:hAnsi="Lato"/>
              </w:rPr>
            </w:pPr>
            <w:r>
              <w:rPr>
                <w:rFonts w:ascii="Lato" w:hAnsi="Lato"/>
              </w:rPr>
              <w:t>01</w:t>
            </w:r>
            <w:r w:rsidR="006D207E">
              <w:rPr>
                <w:rFonts w:ascii="Lato" w:hAnsi="Lato"/>
              </w:rPr>
              <w:t>:</w:t>
            </w:r>
            <w:r w:rsidR="00A83696">
              <w:rPr>
                <w:rFonts w:ascii="Lato" w:hAnsi="Lato"/>
              </w:rPr>
              <w:t>24</w:t>
            </w:r>
          </w:p>
        </w:tc>
        <w:tc>
          <w:tcPr>
            <w:tcW w:w="8170" w:type="dxa"/>
          </w:tcPr>
          <w:p w14:paraId="49E98B93" w14:textId="221E8E72" w:rsidR="00DF49E5" w:rsidRPr="00803AB8" w:rsidRDefault="00A83696" w:rsidP="001504F5">
            <w:pPr>
              <w:rPr>
                <w:rFonts w:ascii="Lato" w:hAnsi="Lato"/>
                <w:color w:val="13A673"/>
              </w:rPr>
            </w:pPr>
            <w:r>
              <w:rPr>
                <w:rFonts w:ascii="Lato" w:hAnsi="Lato"/>
              </w:rPr>
              <w:t>Okay. And so why do we think that is?</w:t>
            </w:r>
          </w:p>
        </w:tc>
      </w:tr>
      <w:tr w:rsidR="00803AB8" w:rsidRPr="001F1767" w14:paraId="75C3DA7E" w14:textId="77777777" w:rsidTr="001F1767">
        <w:tc>
          <w:tcPr>
            <w:tcW w:w="846" w:type="dxa"/>
          </w:tcPr>
          <w:p w14:paraId="08A63252" w14:textId="5C03CB90" w:rsidR="00803AB8" w:rsidRDefault="000F2D07" w:rsidP="001504F5">
            <w:pPr>
              <w:rPr>
                <w:rFonts w:ascii="Lato" w:hAnsi="Lato"/>
              </w:rPr>
            </w:pPr>
            <w:r>
              <w:rPr>
                <w:rFonts w:ascii="Lato" w:hAnsi="Lato"/>
              </w:rPr>
              <w:t>0</w:t>
            </w:r>
            <w:r w:rsidR="00216D80">
              <w:rPr>
                <w:rFonts w:ascii="Lato" w:hAnsi="Lato"/>
              </w:rPr>
              <w:t>1:28</w:t>
            </w:r>
          </w:p>
        </w:tc>
        <w:tc>
          <w:tcPr>
            <w:tcW w:w="8170" w:type="dxa"/>
          </w:tcPr>
          <w:p w14:paraId="6AE53234" w14:textId="4365E706" w:rsidR="00803AB8" w:rsidRPr="00095036" w:rsidRDefault="00216D80" w:rsidP="001504F5">
            <w:pPr>
              <w:rPr>
                <w:rFonts w:ascii="Lato" w:hAnsi="Lato"/>
                <w:color w:val="13A673"/>
              </w:rPr>
            </w:pPr>
            <w:r w:rsidRPr="00095036">
              <w:rPr>
                <w:rFonts w:ascii="Lato" w:hAnsi="Lato"/>
                <w:color w:val="13A673"/>
              </w:rPr>
              <w:t>Well, we’ve done some analysis on the prices</w:t>
            </w:r>
            <w:r w:rsidR="003D715A" w:rsidRPr="00095036">
              <w:rPr>
                <w:rFonts w:ascii="Lato" w:hAnsi="Lato"/>
                <w:color w:val="13A673"/>
              </w:rPr>
              <w:t xml:space="preserve"> in the four Swedish zones. And looking at the correlation of day ahead prices between the zones, you see a very high correlation between day ahead prices in SE1 and SE2, </w:t>
            </w:r>
            <w:r w:rsidR="00DD5D0D" w:rsidRPr="00095036">
              <w:rPr>
                <w:rFonts w:ascii="Lato" w:hAnsi="Lato"/>
                <w:color w:val="13A673"/>
              </w:rPr>
              <w:t xml:space="preserve">and also between day ahead prices in SE3 and SE4, although that correlation is a bit lower, but it’s still high. </w:t>
            </w:r>
            <w:r w:rsidR="00095036" w:rsidRPr="00095036">
              <w:rPr>
                <w:rFonts w:ascii="Lato" w:hAnsi="Lato"/>
                <w:color w:val="13A673"/>
              </w:rPr>
              <w:t>And based on this analysis, it is possible that the government could opt to merge zones one and two and also zones three and four.</w:t>
            </w:r>
          </w:p>
        </w:tc>
      </w:tr>
      <w:tr w:rsidR="00B276CD" w:rsidRPr="001F1767" w14:paraId="776FB8CC" w14:textId="77777777" w:rsidTr="001F1767">
        <w:tc>
          <w:tcPr>
            <w:tcW w:w="846" w:type="dxa"/>
          </w:tcPr>
          <w:p w14:paraId="58923C52" w14:textId="65FB5971" w:rsidR="00B276CD" w:rsidRDefault="00B276CD" w:rsidP="001504F5">
            <w:pPr>
              <w:rPr>
                <w:rFonts w:ascii="Lato" w:hAnsi="Lato"/>
              </w:rPr>
            </w:pPr>
            <w:r>
              <w:rPr>
                <w:rFonts w:ascii="Lato" w:hAnsi="Lato"/>
              </w:rPr>
              <w:t>0</w:t>
            </w:r>
            <w:r w:rsidR="00A42BBB">
              <w:rPr>
                <w:rFonts w:ascii="Lato" w:hAnsi="Lato"/>
              </w:rPr>
              <w:t>1:56</w:t>
            </w:r>
          </w:p>
        </w:tc>
        <w:tc>
          <w:tcPr>
            <w:tcW w:w="8170" w:type="dxa"/>
          </w:tcPr>
          <w:p w14:paraId="7D210953" w14:textId="74D5A9E5" w:rsidR="00B276CD" w:rsidRPr="00B276CD" w:rsidRDefault="00A42BBB" w:rsidP="001504F5">
            <w:pPr>
              <w:rPr>
                <w:rFonts w:ascii="Lato" w:hAnsi="Lato"/>
                <w:color w:val="13A673"/>
              </w:rPr>
            </w:pPr>
            <w:r>
              <w:rPr>
                <w:rFonts w:ascii="Lato" w:hAnsi="Lato"/>
                <w:color w:val="13A673"/>
              </w:rPr>
              <w:t>As such, we think it’s possible that we could see fewer price zones in the short term. And as the government is unhappy with the current significant price differences that you see between the North and the South, a reversion</w:t>
            </w:r>
            <w:r w:rsidR="00EC49E6">
              <w:rPr>
                <w:rFonts w:ascii="Lato" w:hAnsi="Lato"/>
                <w:color w:val="13A673"/>
              </w:rPr>
              <w:t xml:space="preserve"> back to one national price zone appears to be a realistic outcome. This will, however, require a great deal of investment into the transmission network in between now and then. </w:t>
            </w:r>
          </w:p>
        </w:tc>
      </w:tr>
      <w:tr w:rsidR="00C439A7" w:rsidRPr="001F1767" w14:paraId="70A8F7A9" w14:textId="77777777" w:rsidTr="001F1767">
        <w:tc>
          <w:tcPr>
            <w:tcW w:w="846" w:type="dxa"/>
          </w:tcPr>
          <w:p w14:paraId="0FF931B4" w14:textId="4BC16DF0" w:rsidR="00C439A7" w:rsidRDefault="00C439A7" w:rsidP="001504F5">
            <w:pPr>
              <w:rPr>
                <w:rFonts w:ascii="Lato" w:hAnsi="Lato"/>
              </w:rPr>
            </w:pPr>
            <w:r>
              <w:rPr>
                <w:rFonts w:ascii="Lato" w:hAnsi="Lato"/>
              </w:rPr>
              <w:t>0</w:t>
            </w:r>
            <w:r w:rsidR="00AB66E5">
              <w:rPr>
                <w:rFonts w:ascii="Lato" w:hAnsi="Lato"/>
              </w:rPr>
              <w:t>2:21</w:t>
            </w:r>
          </w:p>
        </w:tc>
        <w:tc>
          <w:tcPr>
            <w:tcW w:w="8170" w:type="dxa"/>
          </w:tcPr>
          <w:p w14:paraId="65F48541" w14:textId="00D9432A" w:rsidR="00C439A7" w:rsidRPr="00C439A7" w:rsidRDefault="00AB66E5" w:rsidP="001504F5">
            <w:pPr>
              <w:rPr>
                <w:rFonts w:ascii="Lato" w:hAnsi="Lato"/>
              </w:rPr>
            </w:pPr>
            <w:r>
              <w:rPr>
                <w:rFonts w:ascii="Lato" w:hAnsi="Lato"/>
              </w:rPr>
              <w:t xml:space="preserve">So, our lessons from Sweden 2016 to 2025. Started off with the national zone, gone to four regional zones, now looking at condensing them to north-south divide, and then potentially going back to a national zone at the end. The discourse in the UK is very much around the opposite and how actually, locational price signals – i.e. citing of demand next to lower power prices that alleviates the need for investment in the transmission system seems to have been something that’s really been abandoned in Sweden. </w:t>
            </w:r>
            <w:r w:rsidR="002117B7">
              <w:rPr>
                <w:rFonts w:ascii="Lato" w:hAnsi="Lato"/>
              </w:rPr>
              <w:t>I think, probably, for the best now that things are how they’ve landed in the UK and we’ll see how all of this develops. Well, I hope you found that interesting and we’ll be back for another edition of the Energy Transition Shorts in due course.</w:t>
            </w:r>
          </w:p>
        </w:tc>
      </w:tr>
    </w:tbl>
    <w:p w14:paraId="1DAFE8F3" w14:textId="77777777" w:rsidR="001F1767" w:rsidRDefault="001F1767" w:rsidP="002117B7"/>
    <w:sectPr w:rsidR="001F176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085F2" w14:textId="77777777" w:rsidR="0038718D" w:rsidRDefault="0038718D" w:rsidP="001F1767">
      <w:pPr>
        <w:spacing w:after="0" w:line="240" w:lineRule="auto"/>
      </w:pPr>
      <w:r>
        <w:separator/>
      </w:r>
    </w:p>
  </w:endnote>
  <w:endnote w:type="continuationSeparator" w:id="0">
    <w:p w14:paraId="17C9C16D" w14:textId="77777777" w:rsidR="0038718D" w:rsidRDefault="0038718D" w:rsidP="001F1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74925" w14:textId="77777777" w:rsidR="0038718D" w:rsidRDefault="0038718D" w:rsidP="001F1767">
      <w:pPr>
        <w:spacing w:after="0" w:line="240" w:lineRule="auto"/>
      </w:pPr>
      <w:r>
        <w:separator/>
      </w:r>
    </w:p>
  </w:footnote>
  <w:footnote w:type="continuationSeparator" w:id="0">
    <w:p w14:paraId="2D45ECC3" w14:textId="77777777" w:rsidR="0038718D" w:rsidRDefault="0038718D" w:rsidP="001F1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CE1B" w14:textId="3AC121E0" w:rsidR="001F1767" w:rsidRDefault="001F1767">
    <w:pPr>
      <w:pStyle w:val="Header"/>
    </w:pPr>
    <w:r>
      <w:ptab w:relativeTo="margin" w:alignment="center" w:leader="none"/>
    </w:r>
    <w:r>
      <w:ptab w:relativeTo="margin" w:alignment="right" w:leader="none"/>
    </w:r>
    <w:r>
      <w:rPr>
        <w:noProof/>
      </w:rPr>
      <w:drawing>
        <wp:inline distT="0" distB="0" distL="0" distR="0" wp14:anchorId="199819EB" wp14:editId="778BF239">
          <wp:extent cx="1525459" cy="428126"/>
          <wp:effectExtent l="0" t="0" r="0" b="0"/>
          <wp:docPr id="1375579997"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579997"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25459" cy="42812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3A6"/>
    <w:rsid w:val="000128F2"/>
    <w:rsid w:val="000151B6"/>
    <w:rsid w:val="000207FC"/>
    <w:rsid w:val="00056724"/>
    <w:rsid w:val="0006203A"/>
    <w:rsid w:val="00067860"/>
    <w:rsid w:val="000762B8"/>
    <w:rsid w:val="00076919"/>
    <w:rsid w:val="00091968"/>
    <w:rsid w:val="00092726"/>
    <w:rsid w:val="00095036"/>
    <w:rsid w:val="000C579D"/>
    <w:rsid w:val="000D378C"/>
    <w:rsid w:val="000D573D"/>
    <w:rsid w:val="000E551D"/>
    <w:rsid w:val="000F2D07"/>
    <w:rsid w:val="000F49C9"/>
    <w:rsid w:val="00142F24"/>
    <w:rsid w:val="00143BD9"/>
    <w:rsid w:val="00146B07"/>
    <w:rsid w:val="0015236A"/>
    <w:rsid w:val="00170BB7"/>
    <w:rsid w:val="0019771F"/>
    <w:rsid w:val="001A63E0"/>
    <w:rsid w:val="001D203A"/>
    <w:rsid w:val="001F1767"/>
    <w:rsid w:val="001F73AA"/>
    <w:rsid w:val="002117B7"/>
    <w:rsid w:val="00216D80"/>
    <w:rsid w:val="00217B99"/>
    <w:rsid w:val="002403D0"/>
    <w:rsid w:val="00246DD8"/>
    <w:rsid w:val="0026447E"/>
    <w:rsid w:val="00276996"/>
    <w:rsid w:val="00293414"/>
    <w:rsid w:val="002A3E37"/>
    <w:rsid w:val="002A57CC"/>
    <w:rsid w:val="002B5470"/>
    <w:rsid w:val="002C6FE6"/>
    <w:rsid w:val="002D2A6D"/>
    <w:rsid w:val="0033797F"/>
    <w:rsid w:val="0036649E"/>
    <w:rsid w:val="00380C1C"/>
    <w:rsid w:val="0038718D"/>
    <w:rsid w:val="003A093B"/>
    <w:rsid w:val="003B47B3"/>
    <w:rsid w:val="003C0D1A"/>
    <w:rsid w:val="003D3EF4"/>
    <w:rsid w:val="003D6FAB"/>
    <w:rsid w:val="003D715A"/>
    <w:rsid w:val="004169E8"/>
    <w:rsid w:val="00443BCD"/>
    <w:rsid w:val="00456D9D"/>
    <w:rsid w:val="00470AE5"/>
    <w:rsid w:val="00484DDD"/>
    <w:rsid w:val="004A4B6B"/>
    <w:rsid w:val="004B3251"/>
    <w:rsid w:val="004C338F"/>
    <w:rsid w:val="004E20C8"/>
    <w:rsid w:val="00520EB5"/>
    <w:rsid w:val="00530FBF"/>
    <w:rsid w:val="005351DA"/>
    <w:rsid w:val="00566D7E"/>
    <w:rsid w:val="005D552E"/>
    <w:rsid w:val="005E1BB7"/>
    <w:rsid w:val="00607433"/>
    <w:rsid w:val="006308B1"/>
    <w:rsid w:val="00635792"/>
    <w:rsid w:val="0063709B"/>
    <w:rsid w:val="00642472"/>
    <w:rsid w:val="00673500"/>
    <w:rsid w:val="006B6DE6"/>
    <w:rsid w:val="006D207E"/>
    <w:rsid w:val="006F00D6"/>
    <w:rsid w:val="006F1064"/>
    <w:rsid w:val="007118F2"/>
    <w:rsid w:val="007C3495"/>
    <w:rsid w:val="007D6639"/>
    <w:rsid w:val="007F10EF"/>
    <w:rsid w:val="00803AB8"/>
    <w:rsid w:val="008176A9"/>
    <w:rsid w:val="0083033E"/>
    <w:rsid w:val="00832B49"/>
    <w:rsid w:val="00870FEA"/>
    <w:rsid w:val="008946C5"/>
    <w:rsid w:val="008D1191"/>
    <w:rsid w:val="00921D73"/>
    <w:rsid w:val="00925DEC"/>
    <w:rsid w:val="009272DB"/>
    <w:rsid w:val="00947547"/>
    <w:rsid w:val="009902FE"/>
    <w:rsid w:val="00A1026A"/>
    <w:rsid w:val="00A156F9"/>
    <w:rsid w:val="00A17630"/>
    <w:rsid w:val="00A20BE5"/>
    <w:rsid w:val="00A42BBB"/>
    <w:rsid w:val="00A4765B"/>
    <w:rsid w:val="00A476E1"/>
    <w:rsid w:val="00A50721"/>
    <w:rsid w:val="00A656D6"/>
    <w:rsid w:val="00A81F66"/>
    <w:rsid w:val="00A83696"/>
    <w:rsid w:val="00AB66E5"/>
    <w:rsid w:val="00AD17B2"/>
    <w:rsid w:val="00AE4227"/>
    <w:rsid w:val="00AF19E1"/>
    <w:rsid w:val="00B14C4C"/>
    <w:rsid w:val="00B276CD"/>
    <w:rsid w:val="00B30F67"/>
    <w:rsid w:val="00B623A0"/>
    <w:rsid w:val="00B857E1"/>
    <w:rsid w:val="00BA3321"/>
    <w:rsid w:val="00BB0E00"/>
    <w:rsid w:val="00BB38BB"/>
    <w:rsid w:val="00BB7512"/>
    <w:rsid w:val="00BD042F"/>
    <w:rsid w:val="00BD7E41"/>
    <w:rsid w:val="00C16FBB"/>
    <w:rsid w:val="00C439A7"/>
    <w:rsid w:val="00C81D8F"/>
    <w:rsid w:val="00C8668A"/>
    <w:rsid w:val="00CB5EF6"/>
    <w:rsid w:val="00CD03C1"/>
    <w:rsid w:val="00CD2C86"/>
    <w:rsid w:val="00CE73A6"/>
    <w:rsid w:val="00CF0FA7"/>
    <w:rsid w:val="00D0447E"/>
    <w:rsid w:val="00D11464"/>
    <w:rsid w:val="00D301E2"/>
    <w:rsid w:val="00D37657"/>
    <w:rsid w:val="00D46D72"/>
    <w:rsid w:val="00D51D1B"/>
    <w:rsid w:val="00D6057D"/>
    <w:rsid w:val="00D646AA"/>
    <w:rsid w:val="00D95D4A"/>
    <w:rsid w:val="00DD5D0D"/>
    <w:rsid w:val="00DF49E5"/>
    <w:rsid w:val="00E571C0"/>
    <w:rsid w:val="00E64261"/>
    <w:rsid w:val="00EA03EB"/>
    <w:rsid w:val="00EC49E6"/>
    <w:rsid w:val="00EE0EC7"/>
    <w:rsid w:val="00F04846"/>
    <w:rsid w:val="00F100B2"/>
    <w:rsid w:val="00F65AF3"/>
    <w:rsid w:val="00FC0362"/>
    <w:rsid w:val="00FD6EBC"/>
    <w:rsid w:val="00FD78C7"/>
    <w:rsid w:val="00FE4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F12B3"/>
  <w15:chartTrackingRefBased/>
  <w15:docId w15:val="{48D00EAC-1592-4FDF-8EAD-902BC1DFF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3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E73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73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73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73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73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3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3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3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3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E73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73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73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73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73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3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3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3A6"/>
    <w:rPr>
      <w:rFonts w:eastAsiaTheme="majorEastAsia" w:cstheme="majorBidi"/>
      <w:color w:val="272727" w:themeColor="text1" w:themeTint="D8"/>
    </w:rPr>
  </w:style>
  <w:style w:type="paragraph" w:styleId="Title">
    <w:name w:val="Title"/>
    <w:basedOn w:val="Normal"/>
    <w:next w:val="Normal"/>
    <w:link w:val="TitleChar"/>
    <w:uiPriority w:val="10"/>
    <w:qFormat/>
    <w:rsid w:val="00CE73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3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3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3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3A6"/>
    <w:pPr>
      <w:spacing w:before="160"/>
      <w:jc w:val="center"/>
    </w:pPr>
    <w:rPr>
      <w:i/>
      <w:iCs/>
      <w:color w:val="404040" w:themeColor="text1" w:themeTint="BF"/>
    </w:rPr>
  </w:style>
  <w:style w:type="character" w:customStyle="1" w:styleId="QuoteChar">
    <w:name w:val="Quote Char"/>
    <w:basedOn w:val="DefaultParagraphFont"/>
    <w:link w:val="Quote"/>
    <w:uiPriority w:val="29"/>
    <w:rsid w:val="00CE73A6"/>
    <w:rPr>
      <w:i/>
      <w:iCs/>
      <w:color w:val="404040" w:themeColor="text1" w:themeTint="BF"/>
    </w:rPr>
  </w:style>
  <w:style w:type="paragraph" w:styleId="ListParagraph">
    <w:name w:val="List Paragraph"/>
    <w:basedOn w:val="Normal"/>
    <w:uiPriority w:val="34"/>
    <w:qFormat/>
    <w:rsid w:val="00CE73A6"/>
    <w:pPr>
      <w:ind w:left="720"/>
      <w:contextualSpacing/>
    </w:pPr>
  </w:style>
  <w:style w:type="character" w:styleId="IntenseEmphasis">
    <w:name w:val="Intense Emphasis"/>
    <w:basedOn w:val="DefaultParagraphFont"/>
    <w:uiPriority w:val="21"/>
    <w:qFormat/>
    <w:rsid w:val="00CE73A6"/>
    <w:rPr>
      <w:i/>
      <w:iCs/>
      <w:color w:val="0F4761" w:themeColor="accent1" w:themeShade="BF"/>
    </w:rPr>
  </w:style>
  <w:style w:type="paragraph" w:styleId="IntenseQuote">
    <w:name w:val="Intense Quote"/>
    <w:basedOn w:val="Normal"/>
    <w:next w:val="Normal"/>
    <w:link w:val="IntenseQuoteChar"/>
    <w:uiPriority w:val="30"/>
    <w:qFormat/>
    <w:rsid w:val="00CE73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73A6"/>
    <w:rPr>
      <w:i/>
      <w:iCs/>
      <w:color w:val="0F4761" w:themeColor="accent1" w:themeShade="BF"/>
    </w:rPr>
  </w:style>
  <w:style w:type="character" w:styleId="IntenseReference">
    <w:name w:val="Intense Reference"/>
    <w:basedOn w:val="DefaultParagraphFont"/>
    <w:uiPriority w:val="32"/>
    <w:qFormat/>
    <w:rsid w:val="00CE73A6"/>
    <w:rPr>
      <w:b/>
      <w:bCs/>
      <w:smallCaps/>
      <w:color w:val="0F4761" w:themeColor="accent1" w:themeShade="BF"/>
      <w:spacing w:val="5"/>
    </w:rPr>
  </w:style>
  <w:style w:type="table" w:styleId="TableGrid">
    <w:name w:val="Table Grid"/>
    <w:basedOn w:val="TableNormal"/>
    <w:uiPriority w:val="39"/>
    <w:rsid w:val="00CE7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17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1767"/>
  </w:style>
  <w:style w:type="paragraph" w:styleId="Footer">
    <w:name w:val="footer"/>
    <w:basedOn w:val="Normal"/>
    <w:link w:val="FooterChar"/>
    <w:uiPriority w:val="99"/>
    <w:unhideWhenUsed/>
    <w:rsid w:val="001F17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1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3B4C37D37204439E8281E5463BBF69" ma:contentTypeVersion="19" ma:contentTypeDescription="Create a new document." ma:contentTypeScope="" ma:versionID="459390da0e51ca991f5a52a25339997e">
  <xsd:schema xmlns:xsd="http://www.w3.org/2001/XMLSchema" xmlns:xs="http://www.w3.org/2001/XMLSchema" xmlns:p="http://schemas.microsoft.com/office/2006/metadata/properties" xmlns:ns2="064e4bbf-7839-425a-b177-3243e4876e11" xmlns:ns3="c4782d11-7552-4e3e-ab58-11a691f06416" targetNamespace="http://schemas.microsoft.com/office/2006/metadata/properties" ma:root="true" ma:fieldsID="a206a21b20dcfe1da1ceb7a4e49ca3c2" ns2:_="" ns3:_="">
    <xsd:import namespace="064e4bbf-7839-425a-b177-3243e4876e11"/>
    <xsd:import namespace="c4782d11-7552-4e3e-ab58-11a691f06416"/>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4e4bbf-7839-425a-b177-3243e4876e11"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cf1b816b-27c3-4edc-8966-4996ea3ce486}" ma:internalName="TaxCatchAll" ma:showField="CatchAllData" ma:web="064e4bbf-7839-425a-b177-3243e4876e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782d11-7552-4e3e-ab58-11a691f0641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51ace0-7784-4b50-866d-0cf0b59089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782d11-7552-4e3e-ab58-11a691f06416">
      <Terms xmlns="http://schemas.microsoft.com/office/infopath/2007/PartnerControls"/>
    </lcf76f155ced4ddcb4097134ff3c332f>
    <TaxCatchAll xmlns="064e4bbf-7839-425a-b177-3243e4876e1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AD38E9-9735-4F9A-9B4F-997249851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4e4bbf-7839-425a-b177-3243e4876e11"/>
    <ds:schemaRef ds:uri="c4782d11-7552-4e3e-ab58-11a691f06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4C9F6D-623F-4B83-96FF-6DB7C3CAE694}">
  <ds:schemaRefs>
    <ds:schemaRef ds:uri="c4782d11-7552-4e3e-ab58-11a691f06416"/>
    <ds:schemaRef ds:uri="http://www.w3.org/XML/1998/namespace"/>
    <ds:schemaRef ds:uri="064e4bbf-7839-425a-b177-3243e4876e11"/>
    <ds:schemaRef ds:uri="http://purl.org/dc/terms/"/>
    <ds:schemaRef ds:uri="http://schemas.microsoft.com/office/2006/metadata/propertie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CFC31107-4409-4C4B-9563-97BCB81201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Stenning</dc:creator>
  <cp:keywords/>
  <dc:description/>
  <cp:lastModifiedBy>Frankie Stenning</cp:lastModifiedBy>
  <cp:revision>2</cp:revision>
  <dcterms:created xsi:type="dcterms:W3CDTF">2025-10-06T09:04:00Z</dcterms:created>
  <dcterms:modified xsi:type="dcterms:W3CDTF">2025-10-06T09:04:00Z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0x0101009B3B4C37D37204439E8281E5463BBF69</vt:lpwstr>
  </property>
  <property fmtid="{D5CDD505-2E9C-101B-9397-08002B2CF9AE}" pid="3" name="MSIP_Label_fc4519d8-adb2-4385-b2bc-1749617809ca_Enabled">
    <vt:lpwstr>true</vt:lpwstr>
  </property>
  <property fmtid="{D5CDD505-2E9C-101B-9397-08002B2CF9AE}" pid="4" name="MSIP_Label_fc4519d8-adb2-4385-b2bc-1749617809ca_SetDate">
    <vt:lpwstr>2025-09-08T10:48:40Z</vt:lpwstr>
  </property>
  <property fmtid="{D5CDD505-2E9C-101B-9397-08002B2CF9AE}" pid="5" name="MSIP_Label_fc4519d8-adb2-4385-b2bc-1749617809ca_Method">
    <vt:lpwstr>Standard</vt:lpwstr>
  </property>
  <property fmtid="{D5CDD505-2E9C-101B-9397-08002B2CF9AE}" pid="6" name="MSIP_Label_fc4519d8-adb2-4385-b2bc-1749617809ca_Name">
    <vt:lpwstr>fc4519d8-adb2-4385-b2bc-1749617809ca</vt:lpwstr>
  </property>
  <property fmtid="{D5CDD505-2E9C-101B-9397-08002B2CF9AE}" pid="7" name="MSIP_Label_fc4519d8-adb2-4385-b2bc-1749617809ca_SiteId">
    <vt:lpwstr>7243835e-31d0-4cb2-b1ea-2a33d6eaf3c0</vt:lpwstr>
  </property>
  <property fmtid="{D5CDD505-2E9C-101B-9397-08002B2CF9AE}" pid="8" name="MSIP_Label_fc4519d8-adb2-4385-b2bc-1749617809ca_ActionId">
    <vt:lpwstr>670a2158-a27f-48b4-a050-203c73ec7cd7</vt:lpwstr>
  </property>
  <property fmtid="{D5CDD505-2E9C-101B-9397-08002B2CF9AE}" pid="9" name="MSIP_Label_fc4519d8-adb2-4385-b2bc-1749617809ca_ContentBits">
    <vt:lpwstr>0</vt:lpwstr>
  </property>
  <property fmtid="{D5CDD505-2E9C-101B-9397-08002B2CF9AE}" pid="10" name="MSIP_Label_fc4519d8-adb2-4385-b2bc-1749617809ca_Tag">
    <vt:lpwstr>10, 3, 0, 1</vt:lpwstr>
  </property>
  <property fmtid="{D5CDD505-2E9C-101B-9397-08002B2CF9AE}" pid="11" name="MediaServiceImageTags">
    <vt:lpwstr/>
  </property>
</Properties>
</file>